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E7B4" w14:textId="77777777" w:rsidR="00BC26C5" w:rsidRPr="00064C04" w:rsidRDefault="00BC26C5" w:rsidP="00BC26C5">
      <w:pPr>
        <w:rPr>
          <w:rFonts w:ascii="Arial" w:hAnsi="Arial" w:cs="Arial"/>
          <w:caps/>
          <w:sz w:val="24"/>
          <w:szCs w:val="24"/>
        </w:rPr>
      </w:pPr>
      <w:r w:rsidRPr="00064C04">
        <w:rPr>
          <w:rFonts w:ascii="Arial" w:hAnsi="Arial" w:cs="Arial"/>
          <w:b/>
          <w:caps/>
          <w:sz w:val="24"/>
          <w:szCs w:val="24"/>
        </w:rPr>
        <w:t>Statement of Intent</w:t>
      </w:r>
    </w:p>
    <w:p w14:paraId="3EA7C6D9" w14:textId="6F1A0F4F" w:rsidR="00BC26C5" w:rsidRPr="00C618E1" w:rsidRDefault="006C59BE" w:rsidP="00BC26C5">
      <w:pPr>
        <w:rPr>
          <w:rFonts w:ascii="Arial" w:hAnsi="Arial" w:cs="Arial"/>
          <w:b/>
          <w:caps/>
          <w:sz w:val="24"/>
          <w:szCs w:val="24"/>
        </w:rPr>
      </w:pPr>
      <w:r w:rsidRPr="00C618E1">
        <w:rPr>
          <w:rFonts w:ascii="Arial" w:hAnsi="Arial" w:cs="Arial"/>
          <w:b/>
          <w:caps/>
          <w:sz w:val="24"/>
          <w:szCs w:val="24"/>
        </w:rPr>
        <w:t>Lichfield district council</w:t>
      </w:r>
      <w:r w:rsidR="00BC26C5" w:rsidRPr="00C618E1">
        <w:rPr>
          <w:rFonts w:ascii="Arial" w:hAnsi="Arial" w:cs="Arial"/>
          <w:b/>
          <w:caps/>
          <w:sz w:val="24"/>
          <w:szCs w:val="24"/>
        </w:rPr>
        <w:t xml:space="preserve">, </w:t>
      </w:r>
      <w:r w:rsidR="009756C6" w:rsidRPr="00C618E1">
        <w:rPr>
          <w:rFonts w:ascii="Arial" w:hAnsi="Arial" w:cs="Arial"/>
          <w:b/>
          <w:caps/>
          <w:sz w:val="24"/>
          <w:szCs w:val="24"/>
        </w:rPr>
        <w:t>Critieria for energy efficiency schemes where local authority discretion is permitted</w:t>
      </w:r>
      <w:r w:rsidR="00BC26C5" w:rsidRPr="00C618E1">
        <w:rPr>
          <w:rFonts w:ascii="Arial" w:hAnsi="Arial" w:cs="Arial"/>
          <w:b/>
          <w:caps/>
          <w:sz w:val="24"/>
          <w:szCs w:val="24"/>
        </w:rPr>
        <w:t xml:space="preserve">: </w:t>
      </w:r>
    </w:p>
    <w:p w14:paraId="45844062" w14:textId="6C46B1A6" w:rsidR="00BC26C5" w:rsidRPr="00C618E1" w:rsidRDefault="00BC26C5" w:rsidP="00BC26C5">
      <w:pPr>
        <w:rPr>
          <w:rFonts w:ascii="Arial" w:hAnsi="Arial" w:cs="Arial"/>
          <w:b/>
          <w:i/>
          <w:caps/>
          <w:sz w:val="24"/>
          <w:szCs w:val="24"/>
        </w:rPr>
      </w:pPr>
      <w:r w:rsidRPr="00C618E1">
        <w:rPr>
          <w:rFonts w:ascii="Arial" w:hAnsi="Arial" w:cs="Arial"/>
          <w:b/>
          <w:caps/>
          <w:sz w:val="24"/>
          <w:szCs w:val="24"/>
        </w:rPr>
        <w:t xml:space="preserve">Version </w:t>
      </w:r>
      <w:r w:rsidR="006C59BE" w:rsidRPr="00C618E1">
        <w:rPr>
          <w:rFonts w:ascii="Arial" w:hAnsi="Arial" w:cs="Arial"/>
          <w:b/>
          <w:caps/>
          <w:sz w:val="24"/>
          <w:szCs w:val="24"/>
        </w:rPr>
        <w:t>5</w:t>
      </w:r>
      <w:r w:rsidRPr="00C618E1">
        <w:rPr>
          <w:rFonts w:ascii="Arial" w:hAnsi="Arial" w:cs="Arial"/>
          <w:b/>
          <w:caps/>
          <w:sz w:val="24"/>
          <w:szCs w:val="24"/>
        </w:rPr>
        <w:t xml:space="preserve">: </w:t>
      </w:r>
      <w:r w:rsidR="00C618E1">
        <w:rPr>
          <w:rFonts w:ascii="Arial" w:hAnsi="Arial" w:cs="Arial"/>
          <w:b/>
          <w:i/>
          <w:caps/>
          <w:sz w:val="24"/>
          <w:szCs w:val="24"/>
        </w:rPr>
        <w:t>25</w:t>
      </w:r>
      <w:r w:rsidR="006C59BE" w:rsidRPr="00C618E1">
        <w:rPr>
          <w:rFonts w:ascii="Arial" w:hAnsi="Arial" w:cs="Arial"/>
          <w:b/>
          <w:i/>
          <w:caps/>
          <w:sz w:val="24"/>
          <w:szCs w:val="24"/>
        </w:rPr>
        <w:t>/</w:t>
      </w:r>
      <w:r w:rsidR="00C618E1">
        <w:rPr>
          <w:rFonts w:ascii="Arial" w:hAnsi="Arial" w:cs="Arial"/>
          <w:b/>
          <w:i/>
          <w:caps/>
          <w:sz w:val="24"/>
          <w:szCs w:val="24"/>
        </w:rPr>
        <w:t>11</w:t>
      </w:r>
      <w:r w:rsidR="006C59BE" w:rsidRPr="00C618E1">
        <w:rPr>
          <w:rFonts w:ascii="Arial" w:hAnsi="Arial" w:cs="Arial"/>
          <w:b/>
          <w:i/>
          <w:caps/>
          <w:sz w:val="24"/>
          <w:szCs w:val="24"/>
        </w:rPr>
        <w:t>/2021</w:t>
      </w:r>
    </w:p>
    <w:p w14:paraId="5F8C2A0E" w14:textId="7E00B51C" w:rsidR="00DA6FDA" w:rsidRDefault="00DA6FDA" w:rsidP="00BC26C5">
      <w:pPr>
        <w:rPr>
          <w:rFonts w:ascii="Arial" w:hAnsi="Arial" w:cs="Arial"/>
          <w:b/>
          <w:sz w:val="24"/>
          <w:szCs w:val="24"/>
        </w:rPr>
      </w:pPr>
      <w:r>
        <w:rPr>
          <w:rFonts w:ascii="Arial" w:hAnsi="Arial" w:cs="Arial"/>
          <w:b/>
          <w:sz w:val="24"/>
          <w:szCs w:val="24"/>
        </w:rPr>
        <w:t>PUBLICATION OF THIS STATEMENT CAN BE FOUND AT:</w:t>
      </w:r>
    </w:p>
    <w:p w14:paraId="1F3637A0" w14:textId="4236BEC4" w:rsidR="00DA6FDA" w:rsidRPr="00DA6FDA" w:rsidRDefault="00DA6FDA" w:rsidP="00BC26C5">
      <w:pPr>
        <w:rPr>
          <w:rFonts w:ascii="Arial" w:hAnsi="Arial" w:cs="Arial"/>
          <w:sz w:val="24"/>
          <w:szCs w:val="24"/>
        </w:rPr>
      </w:pPr>
      <w:hyperlink r:id="rId8" w:history="1">
        <w:r w:rsidRPr="00DA6FDA">
          <w:rPr>
            <w:rStyle w:val="Hyperlink"/>
            <w:rFonts w:ascii="Arial" w:hAnsi="Arial" w:cs="Arial"/>
            <w:sz w:val="24"/>
            <w:szCs w:val="24"/>
          </w:rPr>
          <w:t>https://www.lichfielddc.gov.uk/downloads/file/1493/statement-of-intent-for-eco-flexible-eligibility</w:t>
        </w:r>
      </w:hyperlink>
      <w:r w:rsidRPr="00DA6FDA">
        <w:rPr>
          <w:rFonts w:ascii="Arial" w:hAnsi="Arial" w:cs="Arial"/>
          <w:sz w:val="24"/>
          <w:szCs w:val="24"/>
        </w:rPr>
        <w:t xml:space="preserve"> </w:t>
      </w:r>
    </w:p>
    <w:p w14:paraId="7DA6C95D" w14:textId="3019A085" w:rsidR="00BC26C5" w:rsidRPr="0007701C" w:rsidRDefault="006C59BE" w:rsidP="00BC26C5">
      <w:pPr>
        <w:rPr>
          <w:rFonts w:ascii="Arial" w:hAnsi="Arial" w:cs="Arial"/>
          <w:sz w:val="24"/>
          <w:szCs w:val="24"/>
        </w:rPr>
      </w:pPr>
      <w:r>
        <w:rPr>
          <w:rFonts w:ascii="Arial" w:hAnsi="Arial" w:cs="Arial"/>
          <w:sz w:val="24"/>
          <w:szCs w:val="24"/>
        </w:rPr>
        <w:t>This statement sets out Lichfield district C</w:t>
      </w:r>
      <w:r w:rsidR="00BC26C5" w:rsidRPr="0007701C">
        <w:rPr>
          <w:rFonts w:ascii="Arial" w:hAnsi="Arial" w:cs="Arial"/>
          <w:sz w:val="24"/>
          <w:szCs w:val="24"/>
        </w:rPr>
        <w:t xml:space="preserve">ouncil’s </w:t>
      </w:r>
      <w:r w:rsidR="009756C6">
        <w:rPr>
          <w:rFonts w:ascii="Arial" w:hAnsi="Arial" w:cs="Arial"/>
          <w:sz w:val="24"/>
          <w:szCs w:val="24"/>
        </w:rPr>
        <w:t>eligibility thresholds for energy efficiency measures</w:t>
      </w:r>
      <w:r w:rsidR="004446BF">
        <w:rPr>
          <w:rFonts w:ascii="Arial" w:hAnsi="Arial" w:cs="Arial"/>
          <w:sz w:val="24"/>
          <w:szCs w:val="24"/>
        </w:rPr>
        <w:t xml:space="preserve"> delivered in its </w:t>
      </w:r>
      <w:r w:rsidR="00F66099">
        <w:rPr>
          <w:rFonts w:ascii="Arial" w:hAnsi="Arial" w:cs="Arial"/>
          <w:sz w:val="24"/>
          <w:szCs w:val="24"/>
        </w:rPr>
        <w:t>geographical area</w:t>
      </w:r>
      <w:r w:rsidR="009756C6">
        <w:rPr>
          <w:rFonts w:ascii="Arial" w:hAnsi="Arial" w:cs="Arial"/>
          <w:sz w:val="24"/>
          <w:szCs w:val="24"/>
        </w:rPr>
        <w:t>. It is to provide clarity and consistency across all schemes for which local authority discretion is permitted.</w:t>
      </w:r>
    </w:p>
    <w:p w14:paraId="0287E5DB" w14:textId="77777777" w:rsidR="00BC26C5" w:rsidRPr="00865A2C" w:rsidRDefault="00BC26C5" w:rsidP="007440DC">
      <w:pPr>
        <w:pStyle w:val="Heading1"/>
      </w:pPr>
      <w:r w:rsidRPr="0007701C">
        <w:t xml:space="preserve">1. </w:t>
      </w:r>
      <w:r>
        <w:t>Introduction</w:t>
      </w:r>
    </w:p>
    <w:p w14:paraId="3289B9C8" w14:textId="32D0C94F" w:rsidR="00BC26C5" w:rsidRPr="00A3395F" w:rsidRDefault="00BC26C5" w:rsidP="007440DC">
      <w:pPr>
        <w:pStyle w:val="Heading2"/>
      </w:pPr>
      <w:r w:rsidRPr="00A3395F">
        <w:t>1.1</w:t>
      </w:r>
      <w:r>
        <w:t xml:space="preserve"> Fuel Poverty </w:t>
      </w:r>
    </w:p>
    <w:p w14:paraId="68A9027A" w14:textId="77777777" w:rsidR="00BC26C5" w:rsidRDefault="00BC26C5" w:rsidP="00BC26C5">
      <w:pPr>
        <w:spacing w:after="0"/>
        <w:rPr>
          <w:rFonts w:ascii="Arial" w:hAnsi="Arial" w:cs="Arial"/>
          <w:sz w:val="24"/>
          <w:szCs w:val="24"/>
        </w:rPr>
      </w:pPr>
    </w:p>
    <w:p w14:paraId="3263F258" w14:textId="684FBCE5" w:rsidR="001B459F" w:rsidRPr="001B459F" w:rsidRDefault="001B459F" w:rsidP="001B459F">
      <w:pPr>
        <w:rPr>
          <w:rFonts w:ascii="Arial" w:hAnsi="Arial" w:cs="Arial"/>
          <w:sz w:val="24"/>
          <w:szCs w:val="24"/>
        </w:rPr>
      </w:pPr>
      <w:r w:rsidRPr="001B459F">
        <w:rPr>
          <w:rFonts w:ascii="Arial" w:hAnsi="Arial" w:cs="Arial"/>
          <w:sz w:val="24"/>
          <w:szCs w:val="24"/>
        </w:rPr>
        <w:t>Fuel poverty in England</w:t>
      </w:r>
      <w:r w:rsidR="00297053">
        <w:rPr>
          <w:rFonts w:ascii="Arial" w:hAnsi="Arial" w:cs="Arial"/>
          <w:sz w:val="24"/>
          <w:szCs w:val="24"/>
        </w:rPr>
        <w:t xml:space="preserve"> is now measured using the Low Income, Low </w:t>
      </w:r>
      <w:r w:rsidRPr="001B459F">
        <w:rPr>
          <w:rFonts w:ascii="Arial" w:hAnsi="Arial" w:cs="Arial"/>
          <w:sz w:val="24"/>
          <w:szCs w:val="24"/>
        </w:rPr>
        <w:t>Energy Efficiency (LILEE) indicator rather than the old Low Income High Costs (LIHC) indicator.</w:t>
      </w:r>
    </w:p>
    <w:p w14:paraId="3F54DD54" w14:textId="77777777" w:rsidR="001B459F" w:rsidRPr="001B459F" w:rsidRDefault="001B459F" w:rsidP="001B459F">
      <w:pPr>
        <w:rPr>
          <w:rFonts w:ascii="Arial" w:hAnsi="Arial" w:cs="Arial"/>
          <w:sz w:val="24"/>
          <w:szCs w:val="24"/>
        </w:rPr>
      </w:pPr>
      <w:r w:rsidRPr="001B459F">
        <w:rPr>
          <w:rFonts w:ascii="Arial" w:hAnsi="Arial" w:cs="Arial"/>
          <w:sz w:val="24"/>
          <w:szCs w:val="24"/>
        </w:rPr>
        <w:t>Under the LILEE indicator, a household is considered to be fuel poor if:</w:t>
      </w:r>
    </w:p>
    <w:p w14:paraId="35BBC4AB" w14:textId="4CCE47F4" w:rsidR="001B459F" w:rsidRPr="006C59BE" w:rsidRDefault="001B459F" w:rsidP="006C59BE">
      <w:pPr>
        <w:pStyle w:val="ListParagraph"/>
        <w:numPr>
          <w:ilvl w:val="0"/>
          <w:numId w:val="17"/>
        </w:numPr>
        <w:rPr>
          <w:rFonts w:ascii="Arial" w:hAnsi="Arial" w:cs="Arial"/>
          <w:sz w:val="24"/>
          <w:szCs w:val="24"/>
        </w:rPr>
      </w:pPr>
      <w:proofErr w:type="gramStart"/>
      <w:r w:rsidRPr="006C59BE">
        <w:rPr>
          <w:rFonts w:ascii="Arial" w:hAnsi="Arial" w:cs="Arial"/>
          <w:sz w:val="24"/>
          <w:szCs w:val="24"/>
        </w:rPr>
        <w:t>they</w:t>
      </w:r>
      <w:proofErr w:type="gramEnd"/>
      <w:r w:rsidRPr="006C59BE">
        <w:rPr>
          <w:rFonts w:ascii="Arial" w:hAnsi="Arial" w:cs="Arial"/>
          <w:sz w:val="24"/>
          <w:szCs w:val="24"/>
        </w:rPr>
        <w:t xml:space="preserve"> are living in a property with a fuel poverty energy efficiency rating of band D or </w:t>
      </w:r>
      <w:r w:rsidR="00757EBD" w:rsidRPr="006C59BE">
        <w:rPr>
          <w:rFonts w:ascii="Arial" w:hAnsi="Arial" w:cs="Arial"/>
          <w:sz w:val="24"/>
          <w:szCs w:val="24"/>
        </w:rPr>
        <w:t>below.</w:t>
      </w:r>
      <w:r w:rsidR="006C59BE">
        <w:rPr>
          <w:rStyle w:val="FootnoteReference"/>
          <w:rFonts w:ascii="Arial" w:hAnsi="Arial" w:cs="Arial"/>
          <w:sz w:val="24"/>
          <w:szCs w:val="24"/>
        </w:rPr>
        <w:footnoteReference w:id="1"/>
      </w:r>
    </w:p>
    <w:p w14:paraId="7F74B633" w14:textId="77777777" w:rsidR="001B459F" w:rsidRPr="001B459F" w:rsidRDefault="001B459F" w:rsidP="001B459F">
      <w:pPr>
        <w:rPr>
          <w:rFonts w:ascii="Arial" w:hAnsi="Arial" w:cs="Arial"/>
          <w:sz w:val="24"/>
          <w:szCs w:val="24"/>
        </w:rPr>
      </w:pPr>
      <w:proofErr w:type="gramStart"/>
      <w:r w:rsidRPr="001B459F">
        <w:rPr>
          <w:rFonts w:ascii="Arial" w:hAnsi="Arial" w:cs="Arial"/>
          <w:sz w:val="24"/>
          <w:szCs w:val="24"/>
        </w:rPr>
        <w:t>and</w:t>
      </w:r>
      <w:proofErr w:type="gramEnd"/>
    </w:p>
    <w:p w14:paraId="3B7EB9D0" w14:textId="4B89FF61" w:rsidR="001B459F" w:rsidRPr="006C59BE" w:rsidRDefault="001B459F" w:rsidP="006C59BE">
      <w:pPr>
        <w:pStyle w:val="ListParagraph"/>
        <w:numPr>
          <w:ilvl w:val="0"/>
          <w:numId w:val="17"/>
        </w:numPr>
        <w:rPr>
          <w:rFonts w:ascii="Arial" w:hAnsi="Arial" w:cs="Arial"/>
          <w:sz w:val="24"/>
          <w:szCs w:val="24"/>
        </w:rPr>
      </w:pPr>
      <w:proofErr w:type="gramStart"/>
      <w:r w:rsidRPr="006C59BE">
        <w:rPr>
          <w:rFonts w:ascii="Arial" w:hAnsi="Arial" w:cs="Arial"/>
          <w:sz w:val="24"/>
          <w:szCs w:val="24"/>
        </w:rPr>
        <w:t>when</w:t>
      </w:r>
      <w:proofErr w:type="gramEnd"/>
      <w:r w:rsidRPr="006C59BE">
        <w:rPr>
          <w:rFonts w:ascii="Arial" w:hAnsi="Arial" w:cs="Arial"/>
          <w:sz w:val="24"/>
          <w:szCs w:val="24"/>
        </w:rPr>
        <w:t xml:space="preserve"> they spend the required amount to heat their home, they are left with a residual income below the official poverty </w:t>
      </w:r>
      <w:r w:rsidR="00757EBD" w:rsidRPr="006C59BE">
        <w:rPr>
          <w:rFonts w:ascii="Arial" w:hAnsi="Arial" w:cs="Arial"/>
          <w:sz w:val="24"/>
          <w:szCs w:val="24"/>
        </w:rPr>
        <w:t>line.</w:t>
      </w:r>
    </w:p>
    <w:p w14:paraId="07AB4100" w14:textId="77777777" w:rsidR="001B459F" w:rsidRPr="001B459F" w:rsidRDefault="001B459F" w:rsidP="001B459F">
      <w:pPr>
        <w:rPr>
          <w:rFonts w:ascii="Arial" w:hAnsi="Arial" w:cs="Arial"/>
          <w:sz w:val="24"/>
          <w:szCs w:val="24"/>
        </w:rPr>
      </w:pPr>
      <w:r w:rsidRPr="001B459F">
        <w:rPr>
          <w:rFonts w:ascii="Arial" w:hAnsi="Arial" w:cs="Arial"/>
          <w:sz w:val="24"/>
          <w:szCs w:val="24"/>
        </w:rPr>
        <w:t>There are 3 important elements in determining whether a household is fuel poor:</w:t>
      </w:r>
    </w:p>
    <w:p w14:paraId="4FE947B5" w14:textId="77777777" w:rsidR="001B459F" w:rsidRPr="001B459F" w:rsidRDefault="001B459F" w:rsidP="001B459F">
      <w:pPr>
        <w:pStyle w:val="ListParagraph"/>
        <w:numPr>
          <w:ilvl w:val="0"/>
          <w:numId w:val="15"/>
        </w:numPr>
        <w:rPr>
          <w:rFonts w:ascii="Arial" w:hAnsi="Arial" w:cs="Arial"/>
          <w:sz w:val="24"/>
          <w:szCs w:val="24"/>
        </w:rPr>
      </w:pPr>
      <w:r w:rsidRPr="001B459F">
        <w:rPr>
          <w:rFonts w:ascii="Arial" w:hAnsi="Arial" w:cs="Arial"/>
          <w:sz w:val="24"/>
          <w:szCs w:val="24"/>
        </w:rPr>
        <w:t>household income</w:t>
      </w:r>
    </w:p>
    <w:p w14:paraId="4370D920" w14:textId="77777777" w:rsidR="001B459F" w:rsidRPr="001B459F" w:rsidRDefault="001B459F" w:rsidP="001B459F">
      <w:pPr>
        <w:pStyle w:val="ListParagraph"/>
        <w:numPr>
          <w:ilvl w:val="0"/>
          <w:numId w:val="15"/>
        </w:numPr>
        <w:rPr>
          <w:rFonts w:ascii="Arial" w:hAnsi="Arial" w:cs="Arial"/>
          <w:sz w:val="24"/>
          <w:szCs w:val="24"/>
        </w:rPr>
      </w:pPr>
      <w:r w:rsidRPr="001B459F">
        <w:rPr>
          <w:rFonts w:ascii="Arial" w:hAnsi="Arial" w:cs="Arial"/>
          <w:sz w:val="24"/>
          <w:szCs w:val="24"/>
        </w:rPr>
        <w:t>household energy requirements</w:t>
      </w:r>
    </w:p>
    <w:p w14:paraId="5B466974" w14:textId="5E4B5C4E" w:rsidR="001B459F" w:rsidRDefault="001B459F" w:rsidP="001B459F">
      <w:pPr>
        <w:pStyle w:val="ListParagraph"/>
        <w:numPr>
          <w:ilvl w:val="0"/>
          <w:numId w:val="15"/>
        </w:numPr>
        <w:rPr>
          <w:rFonts w:ascii="Arial" w:hAnsi="Arial" w:cs="Arial"/>
          <w:sz w:val="24"/>
          <w:szCs w:val="24"/>
        </w:rPr>
      </w:pPr>
      <w:r w:rsidRPr="001B459F">
        <w:rPr>
          <w:rFonts w:ascii="Arial" w:hAnsi="Arial" w:cs="Arial"/>
          <w:sz w:val="24"/>
          <w:szCs w:val="24"/>
        </w:rPr>
        <w:t>fuel prices</w:t>
      </w:r>
    </w:p>
    <w:p w14:paraId="055B6A3E" w14:textId="77777777" w:rsidR="00F66099" w:rsidRDefault="00595C0F" w:rsidP="00BC26C5">
      <w:pPr>
        <w:spacing w:after="0"/>
        <w:rPr>
          <w:rFonts w:ascii="Arial" w:hAnsi="Arial" w:cs="Arial"/>
          <w:sz w:val="24"/>
          <w:szCs w:val="24"/>
        </w:rPr>
      </w:pPr>
      <w:r>
        <w:rPr>
          <w:rFonts w:ascii="Arial" w:hAnsi="Arial" w:cs="Arial"/>
          <w:sz w:val="24"/>
          <w:szCs w:val="24"/>
        </w:rPr>
        <w:t xml:space="preserve">In publishing </w:t>
      </w:r>
      <w:r w:rsidR="00C42FF6">
        <w:rPr>
          <w:rFonts w:ascii="Arial" w:hAnsi="Arial" w:cs="Arial"/>
          <w:sz w:val="24"/>
          <w:szCs w:val="24"/>
        </w:rPr>
        <w:t xml:space="preserve">is discretionary eligibility, this authority is looking to support </w:t>
      </w:r>
      <w:r w:rsidR="00B7255E">
        <w:rPr>
          <w:rFonts w:ascii="Arial" w:hAnsi="Arial" w:cs="Arial"/>
          <w:sz w:val="24"/>
          <w:szCs w:val="24"/>
        </w:rPr>
        <w:t xml:space="preserve">those that may fall outside general </w:t>
      </w:r>
      <w:r w:rsidR="00952D32">
        <w:rPr>
          <w:rFonts w:ascii="Arial" w:hAnsi="Arial" w:cs="Arial"/>
          <w:sz w:val="24"/>
          <w:szCs w:val="24"/>
        </w:rPr>
        <w:t>eligibility criteria, but who are still at risk of becoming fuel poor.</w:t>
      </w:r>
    </w:p>
    <w:p w14:paraId="0052D452" w14:textId="77777777" w:rsidR="00F66099" w:rsidRDefault="00F66099" w:rsidP="00BC26C5">
      <w:pPr>
        <w:spacing w:after="0"/>
        <w:rPr>
          <w:rFonts w:ascii="Arial" w:hAnsi="Arial" w:cs="Arial"/>
          <w:sz w:val="24"/>
          <w:szCs w:val="24"/>
        </w:rPr>
      </w:pPr>
    </w:p>
    <w:p w14:paraId="39542D02" w14:textId="3D050833" w:rsidR="00BC26C5" w:rsidRDefault="00952D32" w:rsidP="00BC26C5">
      <w:pPr>
        <w:spacing w:after="0"/>
        <w:rPr>
          <w:rFonts w:ascii="Arial" w:hAnsi="Arial" w:cs="Arial"/>
          <w:sz w:val="24"/>
          <w:szCs w:val="24"/>
        </w:rPr>
      </w:pPr>
      <w:r>
        <w:rPr>
          <w:rFonts w:ascii="Arial" w:hAnsi="Arial" w:cs="Arial"/>
          <w:sz w:val="24"/>
          <w:szCs w:val="24"/>
        </w:rPr>
        <w:t xml:space="preserve">This </w:t>
      </w:r>
      <w:r w:rsidR="00F66099">
        <w:rPr>
          <w:rFonts w:ascii="Arial" w:hAnsi="Arial" w:cs="Arial"/>
          <w:sz w:val="24"/>
          <w:szCs w:val="24"/>
        </w:rPr>
        <w:t>document</w:t>
      </w:r>
      <w:r>
        <w:rPr>
          <w:rFonts w:ascii="Arial" w:hAnsi="Arial" w:cs="Arial"/>
          <w:sz w:val="24"/>
          <w:szCs w:val="24"/>
        </w:rPr>
        <w:t xml:space="preserve"> also acknowledges the part </w:t>
      </w:r>
      <w:r w:rsidR="00151727">
        <w:rPr>
          <w:rFonts w:ascii="Arial" w:hAnsi="Arial" w:cs="Arial"/>
          <w:sz w:val="24"/>
          <w:szCs w:val="24"/>
        </w:rPr>
        <w:t>that energy efficiency schemes have in helping to achieve carbon reduction targets.</w:t>
      </w:r>
      <w:r w:rsidR="00C42FF6">
        <w:rPr>
          <w:rFonts w:ascii="Arial" w:hAnsi="Arial" w:cs="Arial"/>
          <w:sz w:val="24"/>
          <w:szCs w:val="24"/>
        </w:rPr>
        <w:t xml:space="preserve"> </w:t>
      </w:r>
    </w:p>
    <w:p w14:paraId="6D4F8243" w14:textId="77777777" w:rsidR="00BC26C5" w:rsidRDefault="00BC26C5" w:rsidP="00BC26C5">
      <w:pPr>
        <w:spacing w:after="0"/>
        <w:rPr>
          <w:rFonts w:ascii="Arial" w:hAnsi="Arial" w:cs="Arial"/>
          <w:sz w:val="24"/>
          <w:szCs w:val="24"/>
        </w:rPr>
      </w:pPr>
    </w:p>
    <w:p w14:paraId="1E453629" w14:textId="205C080D" w:rsidR="00BC26C5" w:rsidRPr="00FD4068" w:rsidRDefault="00BC26C5" w:rsidP="007440DC">
      <w:pPr>
        <w:pStyle w:val="Heading2"/>
      </w:pPr>
      <w:bookmarkStart w:id="0" w:name="_GoBack"/>
      <w:bookmarkEnd w:id="0"/>
      <w:r>
        <w:t>1.2</w:t>
      </w:r>
      <w:r w:rsidRPr="00FD4068">
        <w:t xml:space="preserve"> Wh</w:t>
      </w:r>
      <w:r w:rsidR="00450768">
        <w:t xml:space="preserve">ich scheme can </w:t>
      </w:r>
      <w:r w:rsidR="003D683E">
        <w:t>discretion be used for?</w:t>
      </w:r>
    </w:p>
    <w:p w14:paraId="02AF6D47" w14:textId="6143D25E" w:rsidR="00BC26C5" w:rsidRDefault="003D683E" w:rsidP="003D683E">
      <w:pPr>
        <w:rPr>
          <w:rFonts w:ascii="Arial" w:hAnsi="Arial" w:cs="Arial"/>
          <w:sz w:val="24"/>
          <w:szCs w:val="24"/>
        </w:rPr>
      </w:pPr>
      <w:r>
        <w:rPr>
          <w:rFonts w:ascii="Arial" w:hAnsi="Arial" w:cs="Arial"/>
          <w:sz w:val="24"/>
          <w:szCs w:val="24"/>
        </w:rPr>
        <w:t xml:space="preserve">As of the date of publication, this </w:t>
      </w:r>
      <w:r w:rsidR="0036770F">
        <w:rPr>
          <w:rFonts w:ascii="Arial" w:hAnsi="Arial" w:cs="Arial"/>
          <w:sz w:val="24"/>
          <w:szCs w:val="24"/>
        </w:rPr>
        <w:t xml:space="preserve">discretion is </w:t>
      </w:r>
      <w:r w:rsidR="00631513">
        <w:rPr>
          <w:rFonts w:ascii="Arial" w:hAnsi="Arial" w:cs="Arial"/>
          <w:sz w:val="24"/>
          <w:szCs w:val="24"/>
        </w:rPr>
        <w:t>intended</w:t>
      </w:r>
      <w:r w:rsidR="0036770F">
        <w:rPr>
          <w:rFonts w:ascii="Arial" w:hAnsi="Arial" w:cs="Arial"/>
          <w:sz w:val="24"/>
          <w:szCs w:val="24"/>
        </w:rPr>
        <w:t xml:space="preserve"> to be used for:</w:t>
      </w:r>
    </w:p>
    <w:p w14:paraId="33AA9B1D" w14:textId="7E593B54" w:rsidR="0036770F" w:rsidRDefault="0036770F" w:rsidP="0036770F">
      <w:pPr>
        <w:pStyle w:val="ListParagraph"/>
        <w:numPr>
          <w:ilvl w:val="0"/>
          <w:numId w:val="16"/>
        </w:numPr>
        <w:rPr>
          <w:rFonts w:ascii="Arial" w:hAnsi="Arial" w:cs="Arial"/>
          <w:sz w:val="24"/>
          <w:szCs w:val="24"/>
        </w:rPr>
      </w:pPr>
      <w:r>
        <w:rPr>
          <w:rFonts w:ascii="Arial" w:hAnsi="Arial" w:cs="Arial"/>
          <w:sz w:val="24"/>
          <w:szCs w:val="24"/>
        </w:rPr>
        <w:t>Energy Company Obligation</w:t>
      </w:r>
    </w:p>
    <w:p w14:paraId="4045FAA1" w14:textId="666E516F" w:rsidR="0036770F" w:rsidRDefault="0036770F" w:rsidP="0036770F">
      <w:pPr>
        <w:pStyle w:val="ListParagraph"/>
        <w:numPr>
          <w:ilvl w:val="0"/>
          <w:numId w:val="16"/>
        </w:numPr>
        <w:rPr>
          <w:rFonts w:ascii="Arial" w:hAnsi="Arial" w:cs="Arial"/>
          <w:sz w:val="24"/>
          <w:szCs w:val="24"/>
        </w:rPr>
      </w:pPr>
      <w:r>
        <w:rPr>
          <w:rFonts w:ascii="Arial" w:hAnsi="Arial" w:cs="Arial"/>
          <w:sz w:val="24"/>
          <w:szCs w:val="24"/>
        </w:rPr>
        <w:t>Warm Homes Fund</w:t>
      </w:r>
    </w:p>
    <w:p w14:paraId="3136F47B" w14:textId="5C9A2A28" w:rsidR="0036770F" w:rsidRDefault="0036770F" w:rsidP="0036770F">
      <w:pPr>
        <w:pStyle w:val="ListParagraph"/>
        <w:numPr>
          <w:ilvl w:val="0"/>
          <w:numId w:val="16"/>
        </w:numPr>
        <w:rPr>
          <w:rFonts w:ascii="Arial" w:hAnsi="Arial" w:cs="Arial"/>
          <w:sz w:val="24"/>
          <w:szCs w:val="24"/>
        </w:rPr>
      </w:pPr>
      <w:r>
        <w:rPr>
          <w:rFonts w:ascii="Arial" w:hAnsi="Arial" w:cs="Arial"/>
          <w:sz w:val="24"/>
          <w:szCs w:val="24"/>
        </w:rPr>
        <w:t>Green Homes Grants</w:t>
      </w:r>
    </w:p>
    <w:p w14:paraId="7984F3B8" w14:textId="5CC2AF51" w:rsidR="00351DDD" w:rsidRDefault="00803C3E" w:rsidP="006C59BE">
      <w:pPr>
        <w:rPr>
          <w:rFonts w:ascii="Arial" w:hAnsi="Arial" w:cs="Arial"/>
          <w:b/>
          <w:sz w:val="24"/>
          <w:szCs w:val="24"/>
        </w:rPr>
      </w:pPr>
      <w:r>
        <w:rPr>
          <w:rFonts w:ascii="Arial" w:hAnsi="Arial" w:cs="Arial"/>
          <w:sz w:val="24"/>
          <w:szCs w:val="24"/>
        </w:rPr>
        <w:t xml:space="preserve">Up until </w:t>
      </w:r>
      <w:r w:rsidR="006C59BE">
        <w:rPr>
          <w:rFonts w:ascii="Arial" w:hAnsi="Arial" w:cs="Arial"/>
          <w:sz w:val="24"/>
          <w:szCs w:val="24"/>
        </w:rPr>
        <w:t>the date of its re-issue, this S</w:t>
      </w:r>
      <w:r>
        <w:rPr>
          <w:rFonts w:ascii="Arial" w:hAnsi="Arial" w:cs="Arial"/>
          <w:sz w:val="24"/>
          <w:szCs w:val="24"/>
        </w:rPr>
        <w:t xml:space="preserve">tatement </w:t>
      </w:r>
      <w:r w:rsidR="00255659">
        <w:rPr>
          <w:rFonts w:ascii="Arial" w:hAnsi="Arial" w:cs="Arial"/>
          <w:sz w:val="24"/>
          <w:szCs w:val="24"/>
        </w:rPr>
        <w:t xml:space="preserve">should also be used for all future energy efficiency schemes, unless </w:t>
      </w:r>
      <w:r w:rsidR="001F48E1">
        <w:rPr>
          <w:rFonts w:ascii="Arial" w:hAnsi="Arial" w:cs="Arial"/>
          <w:sz w:val="24"/>
          <w:szCs w:val="24"/>
        </w:rPr>
        <w:t xml:space="preserve">criteria for such schemes specifically </w:t>
      </w:r>
      <w:r w:rsidR="00DE321D">
        <w:rPr>
          <w:rFonts w:ascii="Arial" w:hAnsi="Arial" w:cs="Arial"/>
          <w:sz w:val="24"/>
          <w:szCs w:val="24"/>
        </w:rPr>
        <w:t>forbid such action.</w:t>
      </w:r>
    </w:p>
    <w:p w14:paraId="76CCCF2C" w14:textId="7C695151" w:rsidR="00773FF2" w:rsidRPr="00F01605" w:rsidRDefault="00BC26C5" w:rsidP="00327AA3">
      <w:pPr>
        <w:spacing w:after="160" w:line="240" w:lineRule="auto"/>
        <w:rPr>
          <w:rFonts w:ascii="Arial" w:eastAsia="Calibri" w:hAnsi="Arial" w:cs="Times New Roman"/>
          <w:sz w:val="24"/>
          <w:u w:val="single"/>
        </w:rPr>
      </w:pPr>
      <w:r w:rsidRPr="007B2F2A">
        <w:rPr>
          <w:rFonts w:ascii="Arial" w:eastAsia="Calibri" w:hAnsi="Arial" w:cs="Times New Roman"/>
          <w:sz w:val="24"/>
          <w:u w:val="single"/>
        </w:rPr>
        <w:t>T</w:t>
      </w:r>
      <w:r w:rsidRPr="0085640D">
        <w:rPr>
          <w:rFonts w:ascii="Arial" w:eastAsia="Calibri" w:hAnsi="Arial" w:cs="Times New Roman"/>
          <w:sz w:val="24"/>
          <w:u w:val="single"/>
        </w:rPr>
        <w:t>he final decision on whether a ho</w:t>
      </w:r>
      <w:r w:rsidRPr="007B2F2A">
        <w:rPr>
          <w:rFonts w:ascii="Arial" w:eastAsia="Calibri" w:hAnsi="Arial" w:cs="Times New Roman"/>
          <w:sz w:val="24"/>
          <w:u w:val="single"/>
        </w:rPr>
        <w:t>usehold receives a measure</w:t>
      </w:r>
      <w:r w:rsidR="00351DDD">
        <w:rPr>
          <w:rFonts w:ascii="Arial" w:eastAsia="Calibri" w:hAnsi="Arial" w:cs="Times New Roman"/>
          <w:sz w:val="24"/>
          <w:u w:val="single"/>
        </w:rPr>
        <w:t xml:space="preserve"> under an energy efficiency scheme</w:t>
      </w:r>
      <w:r w:rsidRPr="0085640D">
        <w:rPr>
          <w:rFonts w:ascii="Arial" w:eastAsia="Calibri" w:hAnsi="Arial" w:cs="Times New Roman"/>
          <w:sz w:val="24"/>
          <w:u w:val="single"/>
        </w:rPr>
        <w:t xml:space="preserve"> is made</w:t>
      </w:r>
      <w:r w:rsidR="00631513">
        <w:rPr>
          <w:rFonts w:ascii="Arial" w:eastAsia="Calibri" w:hAnsi="Arial" w:cs="Times New Roman"/>
          <w:sz w:val="24"/>
          <w:u w:val="single"/>
        </w:rPr>
        <w:t xml:space="preserve"> by </w:t>
      </w:r>
      <w:r w:rsidR="00757EBD">
        <w:rPr>
          <w:rFonts w:ascii="Arial" w:eastAsia="Calibri" w:hAnsi="Arial" w:cs="Times New Roman"/>
          <w:sz w:val="24"/>
          <w:u w:val="single"/>
        </w:rPr>
        <w:t xml:space="preserve">the </w:t>
      </w:r>
      <w:r w:rsidR="00757EBD" w:rsidRPr="0085640D">
        <w:rPr>
          <w:rFonts w:ascii="Arial" w:eastAsia="Calibri" w:hAnsi="Arial" w:cs="Times New Roman"/>
          <w:sz w:val="24"/>
          <w:u w:val="single"/>
        </w:rPr>
        <w:t>scheme</w:t>
      </w:r>
      <w:r w:rsidR="003E4FAA">
        <w:rPr>
          <w:rFonts w:ascii="Arial" w:eastAsia="Calibri" w:hAnsi="Arial" w:cs="Times New Roman"/>
          <w:sz w:val="24"/>
          <w:u w:val="single"/>
        </w:rPr>
        <w:t xml:space="preserve"> </w:t>
      </w:r>
      <w:r w:rsidR="00F01605">
        <w:rPr>
          <w:rFonts w:ascii="Arial" w:eastAsia="Calibri" w:hAnsi="Arial" w:cs="Times New Roman"/>
          <w:sz w:val="24"/>
          <w:u w:val="single"/>
        </w:rPr>
        <w:t xml:space="preserve">deliverer </w:t>
      </w:r>
      <w:r w:rsidR="00F01605" w:rsidRPr="0085640D">
        <w:rPr>
          <w:rFonts w:ascii="Arial" w:eastAsia="Calibri" w:hAnsi="Arial" w:cs="Times New Roman"/>
          <w:sz w:val="24"/>
          <w:u w:val="single"/>
        </w:rPr>
        <w:t>or</w:t>
      </w:r>
      <w:r w:rsidRPr="0085640D">
        <w:rPr>
          <w:rFonts w:ascii="Arial" w:eastAsia="Calibri" w:hAnsi="Arial" w:cs="Times New Roman"/>
          <w:sz w:val="24"/>
          <w:u w:val="single"/>
        </w:rPr>
        <w:t xml:space="preserve"> their agents/contractors. </w:t>
      </w:r>
      <w:r w:rsidRPr="007B2F2A">
        <w:rPr>
          <w:rFonts w:ascii="Arial" w:eastAsia="Calibri" w:hAnsi="Arial" w:cs="Times New Roman"/>
          <w:sz w:val="24"/>
          <w:u w:val="single"/>
        </w:rPr>
        <w:t xml:space="preserve">Eligibility </w:t>
      </w:r>
      <w:r w:rsidRPr="0085640D">
        <w:rPr>
          <w:rFonts w:ascii="Arial" w:eastAsia="Calibri" w:hAnsi="Arial" w:cs="Times New Roman"/>
          <w:sz w:val="24"/>
          <w:u w:val="single"/>
        </w:rPr>
        <w:t>will not guarantee installation of measures, as the final decision will depend on</w:t>
      </w:r>
      <w:r w:rsidR="00327AA3">
        <w:rPr>
          <w:rFonts w:ascii="Arial" w:eastAsia="Calibri" w:hAnsi="Arial" w:cs="Times New Roman"/>
          <w:sz w:val="24"/>
          <w:u w:val="single"/>
        </w:rPr>
        <w:t xml:space="preserve"> t</w:t>
      </w:r>
      <w:r w:rsidR="003E4FAA">
        <w:rPr>
          <w:rFonts w:ascii="Arial" w:eastAsia="Calibri" w:hAnsi="Arial" w:cs="Times New Roman"/>
          <w:sz w:val="24"/>
          <w:u w:val="single"/>
        </w:rPr>
        <w:t xml:space="preserve">he criteria </w:t>
      </w:r>
      <w:r w:rsidR="00EB1F10">
        <w:rPr>
          <w:rFonts w:ascii="Arial" w:eastAsia="Calibri" w:hAnsi="Arial" w:cs="Times New Roman"/>
          <w:sz w:val="24"/>
          <w:u w:val="single"/>
        </w:rPr>
        <w:t>set out for each individual energy efficiency scheme.</w:t>
      </w:r>
    </w:p>
    <w:p w14:paraId="44613942" w14:textId="77777777" w:rsidR="00773FF2" w:rsidRDefault="00773FF2" w:rsidP="00BC26C5">
      <w:pPr>
        <w:rPr>
          <w:rFonts w:ascii="Arial" w:hAnsi="Arial" w:cs="Arial"/>
          <w:sz w:val="24"/>
          <w:szCs w:val="24"/>
        </w:rPr>
      </w:pPr>
    </w:p>
    <w:p w14:paraId="2485B1A2" w14:textId="77777777" w:rsidR="00BC26C5" w:rsidRDefault="00BC26C5" w:rsidP="007440DC">
      <w:pPr>
        <w:pStyle w:val="Heading1"/>
      </w:pPr>
      <w:r>
        <w:t>2.</w:t>
      </w:r>
      <w:r w:rsidRPr="00A3395F">
        <w:t xml:space="preserve"> Eligibility Criteria    </w:t>
      </w:r>
    </w:p>
    <w:p w14:paraId="37FC4A7A" w14:textId="20FB3830" w:rsidR="00BC26C5" w:rsidRDefault="00BC26C5" w:rsidP="00BC26C5">
      <w:pPr>
        <w:rPr>
          <w:rFonts w:ascii="Arial" w:hAnsi="Arial" w:cs="Arial"/>
          <w:sz w:val="24"/>
          <w:szCs w:val="24"/>
        </w:rPr>
      </w:pPr>
      <w:r>
        <w:rPr>
          <w:rFonts w:ascii="Arial" w:hAnsi="Arial" w:cs="Arial"/>
          <w:sz w:val="24"/>
          <w:szCs w:val="24"/>
        </w:rPr>
        <w:t xml:space="preserve">To </w:t>
      </w:r>
      <w:r w:rsidR="006C59BE">
        <w:rPr>
          <w:rFonts w:ascii="Arial" w:hAnsi="Arial" w:cs="Arial"/>
          <w:sz w:val="24"/>
          <w:szCs w:val="24"/>
        </w:rPr>
        <w:t>qualify</w:t>
      </w:r>
      <w:r>
        <w:rPr>
          <w:rFonts w:ascii="Arial" w:hAnsi="Arial" w:cs="Arial"/>
          <w:sz w:val="24"/>
          <w:szCs w:val="24"/>
        </w:rPr>
        <w:t xml:space="preserve"> </w:t>
      </w:r>
      <w:r w:rsidR="00F01605">
        <w:rPr>
          <w:rFonts w:ascii="Arial" w:hAnsi="Arial" w:cs="Arial"/>
          <w:sz w:val="24"/>
          <w:szCs w:val="24"/>
        </w:rPr>
        <w:t xml:space="preserve">for </w:t>
      </w:r>
      <w:r w:rsidR="006C59BE">
        <w:rPr>
          <w:rFonts w:ascii="Arial" w:hAnsi="Arial" w:cs="Arial"/>
          <w:sz w:val="24"/>
          <w:szCs w:val="24"/>
        </w:rPr>
        <w:t>flexible</w:t>
      </w:r>
      <w:r>
        <w:rPr>
          <w:rFonts w:ascii="Arial" w:hAnsi="Arial" w:cs="Arial"/>
          <w:sz w:val="24"/>
          <w:szCs w:val="24"/>
        </w:rPr>
        <w:t xml:space="preserve"> eligibility</w:t>
      </w:r>
      <w:r w:rsidR="006C59BE">
        <w:rPr>
          <w:rFonts w:ascii="Arial" w:hAnsi="Arial" w:cs="Arial"/>
          <w:sz w:val="24"/>
          <w:szCs w:val="24"/>
        </w:rPr>
        <w:t xml:space="preserve"> under Lichfield District Council’s discretion, a household must</w:t>
      </w:r>
      <w:r>
        <w:rPr>
          <w:rFonts w:ascii="Arial" w:hAnsi="Arial" w:cs="Arial"/>
          <w:sz w:val="24"/>
          <w:szCs w:val="24"/>
        </w:rPr>
        <w:t>:</w:t>
      </w:r>
    </w:p>
    <w:p w14:paraId="64C1EDC1" w14:textId="391CA109" w:rsidR="00BC26C5" w:rsidRDefault="006C59BE" w:rsidP="00BC26C5">
      <w:pPr>
        <w:pStyle w:val="ListParagraph"/>
        <w:numPr>
          <w:ilvl w:val="0"/>
          <w:numId w:val="11"/>
        </w:numPr>
        <w:rPr>
          <w:rFonts w:ascii="Arial" w:hAnsi="Arial" w:cs="Arial"/>
          <w:sz w:val="24"/>
          <w:szCs w:val="24"/>
        </w:rPr>
      </w:pPr>
      <w:r>
        <w:rPr>
          <w:rFonts w:ascii="Arial" w:hAnsi="Arial" w:cs="Arial"/>
          <w:sz w:val="24"/>
          <w:szCs w:val="24"/>
        </w:rPr>
        <w:t>Have a</w:t>
      </w:r>
      <w:r w:rsidR="00BC26C5">
        <w:rPr>
          <w:rFonts w:ascii="Arial" w:hAnsi="Arial" w:cs="Arial"/>
          <w:sz w:val="24"/>
          <w:szCs w:val="24"/>
        </w:rPr>
        <w:t xml:space="preserve"> low income as determined by table 1 below, and </w:t>
      </w:r>
      <w:r w:rsidR="00531294">
        <w:rPr>
          <w:rFonts w:ascii="Arial" w:hAnsi="Arial" w:cs="Arial"/>
          <w:sz w:val="24"/>
          <w:szCs w:val="24"/>
        </w:rPr>
        <w:t>an EPC, or expected EPC of D, or below</w:t>
      </w:r>
    </w:p>
    <w:p w14:paraId="11D62A17" w14:textId="47B3FADB" w:rsidR="00345B55" w:rsidRDefault="00BC26C5" w:rsidP="00345B55">
      <w:pPr>
        <w:rPr>
          <w:rFonts w:ascii="Arial" w:hAnsi="Arial" w:cs="Arial"/>
          <w:b/>
          <w:sz w:val="24"/>
          <w:szCs w:val="24"/>
        </w:rPr>
      </w:pPr>
      <w:r w:rsidRPr="0075733E">
        <w:rPr>
          <w:rFonts w:ascii="Arial" w:hAnsi="Arial" w:cs="Arial"/>
          <w:b/>
          <w:sz w:val="24"/>
          <w:szCs w:val="24"/>
        </w:rPr>
        <w:t>OR</w:t>
      </w:r>
    </w:p>
    <w:p w14:paraId="60A74395" w14:textId="64A47C82" w:rsidR="006C59BE" w:rsidRPr="006C59BE" w:rsidRDefault="006C59BE" w:rsidP="00345B55">
      <w:pPr>
        <w:pStyle w:val="ListParagraph"/>
        <w:numPr>
          <w:ilvl w:val="0"/>
          <w:numId w:val="11"/>
        </w:numPr>
        <w:rPr>
          <w:rFonts w:ascii="Arial" w:hAnsi="Arial" w:cs="Arial"/>
          <w:b/>
          <w:sz w:val="24"/>
          <w:szCs w:val="24"/>
        </w:rPr>
      </w:pPr>
      <w:r w:rsidRPr="006C59BE">
        <w:rPr>
          <w:rFonts w:ascii="Arial" w:hAnsi="Arial" w:cs="Arial"/>
          <w:b/>
          <w:sz w:val="24"/>
          <w:szCs w:val="24"/>
        </w:rPr>
        <w:t xml:space="preserve">(For Energy Company Obligation (ECO) schemes ONLY) </w:t>
      </w:r>
      <w:r w:rsidRPr="006C59BE">
        <w:rPr>
          <w:rFonts w:ascii="Arial" w:hAnsi="Arial" w:cs="Arial"/>
          <w:sz w:val="24"/>
          <w:szCs w:val="24"/>
        </w:rPr>
        <w:t xml:space="preserve">Have a low income as determined by table 1 below, and a health condition known to be exacerbated by living in a cold home, as detailed in the </w:t>
      </w:r>
      <w:hyperlink r:id="rId9" w:history="1">
        <w:r w:rsidRPr="006C59BE">
          <w:rPr>
            <w:rStyle w:val="Hyperlink"/>
            <w:rFonts w:ascii="Arial" w:hAnsi="Arial" w:cs="Arial"/>
            <w:sz w:val="24"/>
            <w:szCs w:val="24"/>
          </w:rPr>
          <w:t>National Institute for Health and Care Excellence Guideline NG6: Excess winter deaths and illness and the health risks associated with cold homes.</w:t>
        </w:r>
      </w:hyperlink>
    </w:p>
    <w:p w14:paraId="154978BF" w14:textId="465063A9" w:rsidR="006C59BE" w:rsidRPr="006C59BE" w:rsidRDefault="006C59BE" w:rsidP="006C59BE">
      <w:pPr>
        <w:rPr>
          <w:rFonts w:ascii="Arial" w:hAnsi="Arial" w:cs="Arial"/>
          <w:b/>
          <w:sz w:val="24"/>
          <w:szCs w:val="24"/>
        </w:rPr>
      </w:pPr>
      <w:r>
        <w:rPr>
          <w:rFonts w:ascii="Arial" w:hAnsi="Arial" w:cs="Arial"/>
          <w:b/>
          <w:sz w:val="24"/>
          <w:szCs w:val="24"/>
        </w:rPr>
        <w:t>OR</w:t>
      </w:r>
    </w:p>
    <w:p w14:paraId="66167AEF" w14:textId="5433B502" w:rsidR="00202F2B" w:rsidRPr="009E55F8" w:rsidRDefault="006C59BE" w:rsidP="006C59BE">
      <w:pPr>
        <w:pStyle w:val="ListParagraph"/>
        <w:numPr>
          <w:ilvl w:val="0"/>
          <w:numId w:val="11"/>
        </w:numPr>
        <w:rPr>
          <w:rFonts w:ascii="Arial" w:hAnsi="Arial" w:cs="Arial"/>
          <w:b/>
          <w:sz w:val="24"/>
          <w:szCs w:val="24"/>
        </w:rPr>
      </w:pPr>
      <w:r w:rsidRPr="006C59BE">
        <w:rPr>
          <w:rFonts w:ascii="Arial" w:hAnsi="Arial" w:cs="Arial"/>
          <w:sz w:val="24"/>
          <w:szCs w:val="24"/>
        </w:rPr>
        <w:t>Be deemed by the local authority to be eligible, having regard to exceptional circumstances or concerns that may be prejudicial to health for certain vulnerable groups</w:t>
      </w:r>
      <w:r w:rsidR="00327AA3">
        <w:rPr>
          <w:rFonts w:ascii="Arial" w:hAnsi="Arial" w:cs="Arial"/>
          <w:sz w:val="24"/>
          <w:szCs w:val="24"/>
        </w:rPr>
        <w:t>.</w:t>
      </w:r>
    </w:p>
    <w:p w14:paraId="58182196" w14:textId="77777777" w:rsidR="009E55F8" w:rsidRPr="00327AA3" w:rsidRDefault="009E55F8" w:rsidP="009E55F8">
      <w:pPr>
        <w:pStyle w:val="ListParagraph"/>
        <w:rPr>
          <w:rFonts w:ascii="Arial" w:hAnsi="Arial" w:cs="Arial"/>
          <w:b/>
          <w:sz w:val="24"/>
          <w:szCs w:val="24"/>
        </w:rPr>
      </w:pPr>
    </w:p>
    <w:p w14:paraId="2A0299B8" w14:textId="725B7638" w:rsidR="00BC26C5" w:rsidRDefault="00BC26C5" w:rsidP="007440DC">
      <w:pPr>
        <w:pStyle w:val="Heading2"/>
      </w:pPr>
      <w:r>
        <w:t>2</w:t>
      </w:r>
      <w:r w:rsidRPr="00A3395F">
        <w:t xml:space="preserve">.1 Criteria for identifying households in Fuel </w:t>
      </w:r>
      <w:r w:rsidR="00757EBD" w:rsidRPr="00A3395F">
        <w:t xml:space="preserve">Poverty </w:t>
      </w:r>
      <w:r w:rsidR="00757EBD">
        <w:t>-</w:t>
      </w:r>
      <w:r>
        <w:t xml:space="preserve"> Low Income</w:t>
      </w:r>
    </w:p>
    <w:p w14:paraId="40CFF279" w14:textId="533A9BAB" w:rsidR="00BC26C5" w:rsidRDefault="00BC26C5" w:rsidP="00BC26C5">
      <w:pPr>
        <w:rPr>
          <w:rFonts w:ascii="Arial" w:hAnsi="Arial" w:cs="Arial"/>
          <w:sz w:val="24"/>
          <w:szCs w:val="24"/>
        </w:rPr>
      </w:pPr>
      <w:r w:rsidRPr="008C414B">
        <w:rPr>
          <w:rFonts w:ascii="Arial" w:hAnsi="Arial" w:cs="Arial"/>
          <w:sz w:val="24"/>
          <w:szCs w:val="24"/>
        </w:rPr>
        <w:t xml:space="preserve">The minimum </w:t>
      </w:r>
      <w:r w:rsidR="00327AA3">
        <w:rPr>
          <w:rFonts w:ascii="Arial" w:hAnsi="Arial" w:cs="Arial"/>
          <w:sz w:val="24"/>
          <w:szCs w:val="24"/>
        </w:rPr>
        <w:t xml:space="preserve">income </w:t>
      </w:r>
      <w:r w:rsidRPr="008C414B">
        <w:rPr>
          <w:rFonts w:ascii="Arial" w:hAnsi="Arial" w:cs="Arial"/>
          <w:sz w:val="24"/>
          <w:szCs w:val="24"/>
        </w:rPr>
        <w:t xml:space="preserve">needed to </w:t>
      </w:r>
      <w:r w:rsidR="00327AA3">
        <w:rPr>
          <w:rFonts w:ascii="Arial" w:hAnsi="Arial" w:cs="Arial"/>
          <w:sz w:val="24"/>
          <w:szCs w:val="24"/>
        </w:rPr>
        <w:t>live</w:t>
      </w:r>
      <w:r w:rsidRPr="008C414B">
        <w:rPr>
          <w:rFonts w:ascii="Arial" w:hAnsi="Arial" w:cs="Arial"/>
          <w:sz w:val="24"/>
          <w:szCs w:val="24"/>
        </w:rPr>
        <w:t xml:space="preserve"> </w:t>
      </w:r>
      <w:r w:rsidR="00327AA3">
        <w:rPr>
          <w:rFonts w:ascii="Arial" w:hAnsi="Arial" w:cs="Arial"/>
          <w:sz w:val="24"/>
          <w:szCs w:val="24"/>
        </w:rPr>
        <w:t>is subjective and v</w:t>
      </w:r>
      <w:r w:rsidRPr="008C414B">
        <w:rPr>
          <w:rFonts w:ascii="Arial" w:hAnsi="Arial" w:cs="Arial"/>
          <w:sz w:val="24"/>
          <w:szCs w:val="24"/>
        </w:rPr>
        <w:t xml:space="preserve">aries considerably </w:t>
      </w:r>
      <w:r w:rsidR="00327AA3">
        <w:rPr>
          <w:rFonts w:ascii="Arial" w:hAnsi="Arial" w:cs="Arial"/>
          <w:sz w:val="24"/>
          <w:szCs w:val="24"/>
        </w:rPr>
        <w:t>depending</w:t>
      </w:r>
      <w:r w:rsidRPr="008C414B">
        <w:rPr>
          <w:rFonts w:ascii="Arial" w:hAnsi="Arial" w:cs="Arial"/>
          <w:sz w:val="24"/>
          <w:szCs w:val="24"/>
        </w:rPr>
        <w:t xml:space="preserve"> on the size of the household, where someone lives, in what type of accommodation and on the individual’s basic needs. Therefore, the only reasonably reliable indicator of poverty that is generally accepted is that of relative poverty. </w:t>
      </w:r>
      <w:r w:rsidR="005231B1">
        <w:rPr>
          <w:rFonts w:ascii="Arial" w:hAnsi="Arial" w:cs="Arial"/>
          <w:sz w:val="24"/>
          <w:szCs w:val="24"/>
        </w:rPr>
        <w:t xml:space="preserve"> </w:t>
      </w:r>
      <w:r w:rsidR="00327AA3">
        <w:rPr>
          <w:rStyle w:val="FootnoteReference"/>
          <w:rFonts w:ascii="Arial" w:hAnsi="Arial" w:cs="Arial"/>
          <w:sz w:val="24"/>
          <w:szCs w:val="24"/>
        </w:rPr>
        <w:footnoteReference w:id="2"/>
      </w:r>
    </w:p>
    <w:p w14:paraId="52269F3E" w14:textId="5B4293D5" w:rsidR="00773FF2" w:rsidRDefault="00327AA3" w:rsidP="00BC26C5">
      <w:pPr>
        <w:rPr>
          <w:rFonts w:ascii="Arial" w:hAnsi="Arial" w:cs="Arial"/>
          <w:sz w:val="24"/>
          <w:szCs w:val="24"/>
        </w:rPr>
      </w:pPr>
      <w:r w:rsidRPr="00327AA3">
        <w:rPr>
          <w:rFonts w:ascii="Arial" w:hAnsi="Arial" w:cs="Arial"/>
          <w:sz w:val="24"/>
          <w:szCs w:val="24"/>
        </w:rPr>
        <w:t xml:space="preserve">This local authority has chosen to model the current ECO programme as its baseline and to apply an uplift to the permitted income for those in receipt of child benefit. We have taken account of the £30,000p.a. </w:t>
      </w:r>
      <w:proofErr w:type="gramStart"/>
      <w:r w:rsidRPr="00327AA3">
        <w:rPr>
          <w:rFonts w:ascii="Arial" w:hAnsi="Arial" w:cs="Arial"/>
          <w:sz w:val="24"/>
          <w:szCs w:val="24"/>
        </w:rPr>
        <w:t>permitted</w:t>
      </w:r>
      <w:proofErr w:type="gramEnd"/>
      <w:r w:rsidRPr="00327AA3">
        <w:rPr>
          <w:rFonts w:ascii="Arial" w:hAnsi="Arial" w:cs="Arial"/>
          <w:sz w:val="24"/>
          <w:szCs w:val="24"/>
        </w:rPr>
        <w:t xml:space="preserve"> income level for individual homeowners in the current Green Homes Grant programme, as determined by BEIS</w:t>
      </w:r>
      <w:r>
        <w:rPr>
          <w:rFonts w:ascii="Arial" w:hAnsi="Arial" w:cs="Arial"/>
          <w:sz w:val="24"/>
          <w:szCs w:val="24"/>
        </w:rPr>
        <w:t>.</w:t>
      </w:r>
      <w:r w:rsidR="009375C5">
        <w:rPr>
          <w:rStyle w:val="FootnoteReference"/>
          <w:rFonts w:ascii="Arial" w:hAnsi="Arial" w:cs="Arial"/>
          <w:sz w:val="24"/>
          <w:szCs w:val="24"/>
        </w:rPr>
        <w:footnoteReference w:id="3"/>
      </w:r>
    </w:p>
    <w:p w14:paraId="0495E281" w14:textId="300C07C6" w:rsidR="00BC26C5" w:rsidRDefault="00BC26C5" w:rsidP="00BC26C5">
      <w:pPr>
        <w:rPr>
          <w:rFonts w:ascii="Arial" w:hAnsi="Arial" w:cs="Arial"/>
          <w:b/>
          <w:sz w:val="24"/>
          <w:szCs w:val="24"/>
        </w:rPr>
      </w:pPr>
      <w:r w:rsidRPr="0075733E">
        <w:rPr>
          <w:rFonts w:ascii="Arial" w:hAnsi="Arial" w:cs="Arial"/>
          <w:b/>
          <w:sz w:val="24"/>
          <w:szCs w:val="24"/>
        </w:rPr>
        <w:t xml:space="preserve">Table </w:t>
      </w:r>
      <w:r w:rsidR="00757EBD" w:rsidRPr="0075733E">
        <w:rPr>
          <w:rFonts w:ascii="Arial" w:hAnsi="Arial" w:cs="Arial"/>
          <w:b/>
          <w:sz w:val="24"/>
          <w:szCs w:val="24"/>
        </w:rPr>
        <w:t>1</w:t>
      </w:r>
      <w:r w:rsidR="00757EBD">
        <w:rPr>
          <w:rFonts w:ascii="Arial" w:hAnsi="Arial" w:cs="Arial"/>
          <w:b/>
          <w:sz w:val="24"/>
          <w:szCs w:val="24"/>
        </w:rPr>
        <w:t>:</w:t>
      </w:r>
      <w:r w:rsidR="00294F83" w:rsidRPr="00401C34">
        <w:rPr>
          <w:rFonts w:ascii="Arial" w:hAnsi="Arial" w:cs="Arial"/>
          <w:b/>
          <w:sz w:val="24"/>
          <w:szCs w:val="24"/>
        </w:rPr>
        <w:t xml:space="preserve"> </w:t>
      </w:r>
      <w:r w:rsidR="00E322BA" w:rsidRPr="00401C34">
        <w:rPr>
          <w:rFonts w:ascii="Arial" w:hAnsi="Arial" w:cs="Arial"/>
          <w:b/>
          <w:sz w:val="24"/>
          <w:szCs w:val="24"/>
        </w:rPr>
        <w:t xml:space="preserve">“Income” means annual gross income from all sources, including housing-related benefits, before tax. This should be determined based on the </w:t>
      </w:r>
      <w:r w:rsidR="00344085" w:rsidRPr="00401C34">
        <w:rPr>
          <w:rFonts w:ascii="Arial" w:hAnsi="Arial" w:cs="Arial"/>
          <w:b/>
          <w:sz w:val="24"/>
          <w:szCs w:val="24"/>
        </w:rPr>
        <w:t>preceding</w:t>
      </w:r>
      <w:r w:rsidR="00E322BA" w:rsidRPr="00401C34">
        <w:rPr>
          <w:rFonts w:ascii="Arial" w:hAnsi="Arial" w:cs="Arial"/>
          <w:b/>
          <w:sz w:val="24"/>
          <w:szCs w:val="24"/>
        </w:rPr>
        <w:t xml:space="preserve"> annual tax year which runs from 6</w:t>
      </w:r>
      <w:r w:rsidR="009375C5" w:rsidRPr="009375C5">
        <w:rPr>
          <w:rFonts w:ascii="Arial" w:hAnsi="Arial" w:cs="Arial"/>
          <w:b/>
          <w:sz w:val="24"/>
          <w:szCs w:val="24"/>
          <w:vertAlign w:val="superscript"/>
        </w:rPr>
        <w:t>th</w:t>
      </w:r>
      <w:r w:rsidR="00E322BA" w:rsidRPr="00401C34">
        <w:rPr>
          <w:rFonts w:ascii="Arial" w:hAnsi="Arial" w:cs="Arial"/>
          <w:b/>
          <w:sz w:val="24"/>
          <w:szCs w:val="24"/>
        </w:rPr>
        <w:t xml:space="preserve"> April to 5th April of the following year.</w:t>
      </w:r>
    </w:p>
    <w:tbl>
      <w:tblPr>
        <w:tblStyle w:val="TableGrid"/>
        <w:tblW w:w="9209" w:type="dxa"/>
        <w:tblLook w:val="04A0" w:firstRow="1" w:lastRow="0" w:firstColumn="1" w:lastColumn="0" w:noHBand="0" w:noVBand="1"/>
      </w:tblPr>
      <w:tblGrid>
        <w:gridCol w:w="1803"/>
        <w:gridCol w:w="7406"/>
      </w:tblGrid>
      <w:tr w:rsidR="000526C4" w14:paraId="49A5E53A" w14:textId="77777777" w:rsidTr="000526C4">
        <w:tc>
          <w:tcPr>
            <w:tcW w:w="1803" w:type="dxa"/>
          </w:tcPr>
          <w:p w14:paraId="005A18C8" w14:textId="6232B5DC" w:rsidR="000526C4" w:rsidRDefault="000526C4" w:rsidP="00BC26C5">
            <w:pPr>
              <w:rPr>
                <w:rFonts w:ascii="Arial" w:hAnsi="Arial" w:cs="Arial"/>
                <w:b/>
                <w:sz w:val="24"/>
                <w:szCs w:val="24"/>
              </w:rPr>
            </w:pPr>
            <w:r>
              <w:rPr>
                <w:rFonts w:ascii="Arial" w:hAnsi="Arial" w:cs="Arial"/>
                <w:b/>
                <w:sz w:val="24"/>
                <w:szCs w:val="24"/>
              </w:rPr>
              <w:t>Household Composition</w:t>
            </w:r>
          </w:p>
        </w:tc>
        <w:tc>
          <w:tcPr>
            <w:tcW w:w="7406" w:type="dxa"/>
          </w:tcPr>
          <w:p w14:paraId="1B756722" w14:textId="47E63347" w:rsidR="000526C4" w:rsidRDefault="000526C4" w:rsidP="00BC26C5">
            <w:pPr>
              <w:rPr>
                <w:rFonts w:ascii="Arial" w:hAnsi="Arial" w:cs="Arial"/>
                <w:b/>
                <w:sz w:val="24"/>
                <w:szCs w:val="24"/>
              </w:rPr>
            </w:pPr>
            <w:r>
              <w:rPr>
                <w:rFonts w:ascii="Arial" w:hAnsi="Arial" w:cs="Arial"/>
                <w:b/>
                <w:sz w:val="24"/>
                <w:szCs w:val="24"/>
              </w:rPr>
              <w:t xml:space="preserve">Permitted Gross </w:t>
            </w:r>
            <w:r w:rsidR="00F4438C">
              <w:rPr>
                <w:rFonts w:ascii="Arial" w:hAnsi="Arial" w:cs="Arial"/>
                <w:b/>
                <w:sz w:val="24"/>
                <w:szCs w:val="24"/>
              </w:rPr>
              <w:t>Household Income</w:t>
            </w:r>
            <w:r w:rsidR="00186744">
              <w:rPr>
                <w:rFonts w:ascii="Arial" w:hAnsi="Arial" w:cs="Arial"/>
                <w:b/>
                <w:sz w:val="24"/>
                <w:szCs w:val="24"/>
              </w:rPr>
              <w:t xml:space="preserve">. </w:t>
            </w:r>
          </w:p>
        </w:tc>
      </w:tr>
      <w:tr w:rsidR="000526C4" w14:paraId="4F9A53A1" w14:textId="77777777" w:rsidTr="000526C4">
        <w:tc>
          <w:tcPr>
            <w:tcW w:w="1803" w:type="dxa"/>
          </w:tcPr>
          <w:p w14:paraId="7C57B3F7" w14:textId="5DAECDB6" w:rsidR="000526C4" w:rsidRDefault="000526C4" w:rsidP="00BC26C5">
            <w:pPr>
              <w:rPr>
                <w:rFonts w:ascii="Arial" w:hAnsi="Arial" w:cs="Arial"/>
                <w:b/>
                <w:sz w:val="24"/>
                <w:szCs w:val="24"/>
              </w:rPr>
            </w:pPr>
            <w:r>
              <w:rPr>
                <w:rFonts w:ascii="Arial" w:hAnsi="Arial" w:cs="Arial"/>
                <w:b/>
                <w:sz w:val="24"/>
                <w:szCs w:val="24"/>
              </w:rPr>
              <w:t>1 Adult</w:t>
            </w:r>
          </w:p>
        </w:tc>
        <w:tc>
          <w:tcPr>
            <w:tcW w:w="7406" w:type="dxa"/>
          </w:tcPr>
          <w:p w14:paraId="4B9FF906" w14:textId="3ACC8F37" w:rsidR="000526C4" w:rsidRDefault="000526C4" w:rsidP="00BC26C5">
            <w:pPr>
              <w:rPr>
                <w:rFonts w:ascii="Arial" w:hAnsi="Arial" w:cs="Arial"/>
                <w:b/>
                <w:sz w:val="24"/>
                <w:szCs w:val="24"/>
              </w:rPr>
            </w:pPr>
            <w:r>
              <w:rPr>
                <w:rFonts w:ascii="Arial" w:hAnsi="Arial" w:cs="Arial"/>
                <w:b/>
                <w:sz w:val="24"/>
                <w:szCs w:val="24"/>
              </w:rPr>
              <w:t>£30,000</w:t>
            </w:r>
          </w:p>
        </w:tc>
      </w:tr>
      <w:tr w:rsidR="000526C4" w14:paraId="10392BCE" w14:textId="77777777" w:rsidTr="000526C4">
        <w:tc>
          <w:tcPr>
            <w:tcW w:w="1803" w:type="dxa"/>
          </w:tcPr>
          <w:p w14:paraId="6E8721A0" w14:textId="6F73B01E" w:rsidR="000526C4" w:rsidRDefault="000526C4" w:rsidP="00BC26C5">
            <w:pPr>
              <w:rPr>
                <w:rFonts w:ascii="Arial" w:hAnsi="Arial" w:cs="Arial"/>
                <w:b/>
                <w:sz w:val="24"/>
                <w:szCs w:val="24"/>
              </w:rPr>
            </w:pPr>
            <w:r>
              <w:rPr>
                <w:rFonts w:ascii="Arial" w:hAnsi="Arial" w:cs="Arial"/>
                <w:b/>
                <w:sz w:val="24"/>
                <w:szCs w:val="24"/>
              </w:rPr>
              <w:t>And 1 Child</w:t>
            </w:r>
          </w:p>
        </w:tc>
        <w:tc>
          <w:tcPr>
            <w:tcW w:w="7406" w:type="dxa"/>
          </w:tcPr>
          <w:p w14:paraId="5121E4AB" w14:textId="29E5614D" w:rsidR="000526C4" w:rsidRDefault="000526C4" w:rsidP="00BC26C5">
            <w:pPr>
              <w:rPr>
                <w:rFonts w:ascii="Arial" w:hAnsi="Arial" w:cs="Arial"/>
                <w:b/>
                <w:sz w:val="24"/>
                <w:szCs w:val="24"/>
              </w:rPr>
            </w:pPr>
            <w:r>
              <w:rPr>
                <w:rFonts w:ascii="Arial" w:hAnsi="Arial" w:cs="Arial"/>
                <w:b/>
                <w:sz w:val="24"/>
                <w:szCs w:val="24"/>
              </w:rPr>
              <w:t>£34,838</w:t>
            </w:r>
          </w:p>
        </w:tc>
      </w:tr>
      <w:tr w:rsidR="000526C4" w14:paraId="47A5C3BD" w14:textId="77777777" w:rsidTr="000526C4">
        <w:tc>
          <w:tcPr>
            <w:tcW w:w="1803" w:type="dxa"/>
          </w:tcPr>
          <w:p w14:paraId="7D9BBD3C" w14:textId="6D1B49F3" w:rsidR="000526C4" w:rsidRDefault="000526C4" w:rsidP="00BC26C5">
            <w:pPr>
              <w:rPr>
                <w:rFonts w:ascii="Arial" w:hAnsi="Arial" w:cs="Arial"/>
                <w:b/>
                <w:sz w:val="24"/>
                <w:szCs w:val="24"/>
              </w:rPr>
            </w:pPr>
            <w:r>
              <w:rPr>
                <w:rFonts w:ascii="Arial" w:hAnsi="Arial" w:cs="Arial"/>
                <w:b/>
                <w:sz w:val="24"/>
                <w:szCs w:val="24"/>
              </w:rPr>
              <w:t>And 2 Child</w:t>
            </w:r>
          </w:p>
        </w:tc>
        <w:tc>
          <w:tcPr>
            <w:tcW w:w="7406" w:type="dxa"/>
          </w:tcPr>
          <w:p w14:paraId="5AB7A0A1" w14:textId="0519064E" w:rsidR="000526C4" w:rsidRDefault="000526C4" w:rsidP="00BC26C5">
            <w:pPr>
              <w:rPr>
                <w:rFonts w:ascii="Arial" w:hAnsi="Arial" w:cs="Arial"/>
                <w:b/>
                <w:sz w:val="24"/>
                <w:szCs w:val="24"/>
              </w:rPr>
            </w:pPr>
            <w:r>
              <w:rPr>
                <w:rFonts w:ascii="Arial" w:hAnsi="Arial" w:cs="Arial"/>
                <w:b/>
                <w:sz w:val="24"/>
                <w:szCs w:val="24"/>
              </w:rPr>
              <w:t>£39,788</w:t>
            </w:r>
          </w:p>
        </w:tc>
      </w:tr>
      <w:tr w:rsidR="000526C4" w14:paraId="3B9D8681" w14:textId="77777777" w:rsidTr="000526C4">
        <w:tc>
          <w:tcPr>
            <w:tcW w:w="1803" w:type="dxa"/>
          </w:tcPr>
          <w:p w14:paraId="38F57248" w14:textId="5FB68406" w:rsidR="000526C4" w:rsidRDefault="000526C4" w:rsidP="00BC26C5">
            <w:pPr>
              <w:rPr>
                <w:rFonts w:ascii="Arial" w:hAnsi="Arial" w:cs="Arial"/>
                <w:b/>
                <w:sz w:val="24"/>
                <w:szCs w:val="24"/>
              </w:rPr>
            </w:pPr>
            <w:r>
              <w:rPr>
                <w:rFonts w:ascii="Arial" w:hAnsi="Arial" w:cs="Arial"/>
                <w:b/>
                <w:sz w:val="24"/>
                <w:szCs w:val="24"/>
              </w:rPr>
              <w:t>And 3 Child</w:t>
            </w:r>
          </w:p>
        </w:tc>
        <w:tc>
          <w:tcPr>
            <w:tcW w:w="7406" w:type="dxa"/>
          </w:tcPr>
          <w:p w14:paraId="3B2E0109" w14:textId="57BA87F4" w:rsidR="000526C4" w:rsidRDefault="000526C4" w:rsidP="00BC26C5">
            <w:pPr>
              <w:rPr>
                <w:rFonts w:ascii="Arial" w:hAnsi="Arial" w:cs="Arial"/>
                <w:b/>
                <w:sz w:val="24"/>
                <w:szCs w:val="24"/>
              </w:rPr>
            </w:pPr>
            <w:r>
              <w:rPr>
                <w:rFonts w:ascii="Arial" w:hAnsi="Arial" w:cs="Arial"/>
                <w:b/>
                <w:sz w:val="24"/>
                <w:szCs w:val="24"/>
              </w:rPr>
              <w:t>£44,738</w:t>
            </w:r>
          </w:p>
        </w:tc>
      </w:tr>
      <w:tr w:rsidR="000526C4" w14:paraId="1DC5ECA8" w14:textId="77777777" w:rsidTr="000526C4">
        <w:tc>
          <w:tcPr>
            <w:tcW w:w="1803" w:type="dxa"/>
          </w:tcPr>
          <w:p w14:paraId="595D947F" w14:textId="3359D915" w:rsidR="000526C4" w:rsidRDefault="000526C4" w:rsidP="00BC26C5">
            <w:pPr>
              <w:rPr>
                <w:rFonts w:ascii="Arial" w:hAnsi="Arial" w:cs="Arial"/>
                <w:b/>
                <w:sz w:val="24"/>
                <w:szCs w:val="24"/>
              </w:rPr>
            </w:pPr>
            <w:r>
              <w:rPr>
                <w:rFonts w:ascii="Arial" w:hAnsi="Arial" w:cs="Arial"/>
                <w:b/>
                <w:sz w:val="24"/>
                <w:szCs w:val="24"/>
              </w:rPr>
              <w:t>And 4+ Child</w:t>
            </w:r>
          </w:p>
        </w:tc>
        <w:tc>
          <w:tcPr>
            <w:tcW w:w="7406" w:type="dxa"/>
          </w:tcPr>
          <w:p w14:paraId="7616B8EE" w14:textId="42ACADF7" w:rsidR="000526C4" w:rsidRDefault="000526C4" w:rsidP="00BC26C5">
            <w:pPr>
              <w:rPr>
                <w:rFonts w:ascii="Arial" w:hAnsi="Arial" w:cs="Arial"/>
                <w:b/>
                <w:sz w:val="24"/>
                <w:szCs w:val="24"/>
              </w:rPr>
            </w:pPr>
            <w:r>
              <w:rPr>
                <w:rFonts w:ascii="Arial" w:hAnsi="Arial" w:cs="Arial"/>
                <w:b/>
                <w:sz w:val="24"/>
                <w:szCs w:val="24"/>
              </w:rPr>
              <w:t>£49,668</w:t>
            </w:r>
          </w:p>
        </w:tc>
      </w:tr>
      <w:tr w:rsidR="000526C4" w14:paraId="6C2C9F15" w14:textId="77777777" w:rsidTr="000526C4">
        <w:tc>
          <w:tcPr>
            <w:tcW w:w="1803" w:type="dxa"/>
          </w:tcPr>
          <w:p w14:paraId="087DD2AF" w14:textId="461650B7" w:rsidR="000526C4" w:rsidRDefault="000526C4" w:rsidP="00BC26C5">
            <w:pPr>
              <w:rPr>
                <w:rFonts w:ascii="Arial" w:hAnsi="Arial" w:cs="Arial"/>
                <w:b/>
                <w:sz w:val="24"/>
                <w:szCs w:val="24"/>
              </w:rPr>
            </w:pPr>
            <w:r>
              <w:rPr>
                <w:rFonts w:ascii="Arial" w:hAnsi="Arial" w:cs="Arial"/>
                <w:b/>
                <w:sz w:val="24"/>
                <w:szCs w:val="24"/>
              </w:rPr>
              <w:t>2 Adults</w:t>
            </w:r>
          </w:p>
        </w:tc>
        <w:tc>
          <w:tcPr>
            <w:tcW w:w="7406" w:type="dxa"/>
          </w:tcPr>
          <w:p w14:paraId="5E0836E3" w14:textId="0AFB38CD" w:rsidR="000526C4" w:rsidRDefault="000526C4" w:rsidP="00BC26C5">
            <w:pPr>
              <w:rPr>
                <w:rFonts w:ascii="Arial" w:hAnsi="Arial" w:cs="Arial"/>
                <w:b/>
                <w:sz w:val="24"/>
                <w:szCs w:val="24"/>
              </w:rPr>
            </w:pPr>
            <w:r>
              <w:rPr>
                <w:rFonts w:ascii="Arial" w:hAnsi="Arial" w:cs="Arial"/>
                <w:b/>
                <w:sz w:val="24"/>
                <w:szCs w:val="24"/>
              </w:rPr>
              <w:t>£37,914</w:t>
            </w:r>
          </w:p>
        </w:tc>
      </w:tr>
      <w:tr w:rsidR="000526C4" w14:paraId="242637A7" w14:textId="77777777" w:rsidTr="000526C4">
        <w:tc>
          <w:tcPr>
            <w:tcW w:w="1803" w:type="dxa"/>
          </w:tcPr>
          <w:p w14:paraId="41A65779" w14:textId="3DB1C3D7" w:rsidR="000526C4" w:rsidRDefault="000526C4" w:rsidP="00BC26C5">
            <w:pPr>
              <w:rPr>
                <w:rFonts w:ascii="Arial" w:hAnsi="Arial" w:cs="Arial"/>
                <w:b/>
                <w:sz w:val="24"/>
                <w:szCs w:val="24"/>
              </w:rPr>
            </w:pPr>
            <w:r>
              <w:rPr>
                <w:rFonts w:ascii="Arial" w:hAnsi="Arial" w:cs="Arial"/>
                <w:b/>
                <w:sz w:val="24"/>
                <w:szCs w:val="24"/>
              </w:rPr>
              <w:t>And 1 Child</w:t>
            </w:r>
          </w:p>
        </w:tc>
        <w:tc>
          <w:tcPr>
            <w:tcW w:w="7406" w:type="dxa"/>
          </w:tcPr>
          <w:p w14:paraId="257682DE" w14:textId="76E4BAC1" w:rsidR="000526C4" w:rsidRDefault="000526C4" w:rsidP="00BC26C5">
            <w:pPr>
              <w:rPr>
                <w:rFonts w:ascii="Arial" w:hAnsi="Arial" w:cs="Arial"/>
                <w:b/>
                <w:sz w:val="24"/>
                <w:szCs w:val="24"/>
              </w:rPr>
            </w:pPr>
            <w:r>
              <w:rPr>
                <w:rFonts w:ascii="Arial" w:hAnsi="Arial" w:cs="Arial"/>
                <w:b/>
                <w:sz w:val="24"/>
                <w:szCs w:val="24"/>
              </w:rPr>
              <w:t>£42,538</w:t>
            </w:r>
          </w:p>
        </w:tc>
      </w:tr>
      <w:tr w:rsidR="000526C4" w14:paraId="3A145248" w14:textId="77777777" w:rsidTr="000526C4">
        <w:tc>
          <w:tcPr>
            <w:tcW w:w="1803" w:type="dxa"/>
          </w:tcPr>
          <w:p w14:paraId="52C64BEF" w14:textId="6AA42BBB" w:rsidR="000526C4" w:rsidRDefault="000526C4" w:rsidP="00BC26C5">
            <w:pPr>
              <w:rPr>
                <w:rFonts w:ascii="Arial" w:hAnsi="Arial" w:cs="Arial"/>
                <w:b/>
                <w:sz w:val="24"/>
                <w:szCs w:val="24"/>
              </w:rPr>
            </w:pPr>
            <w:r>
              <w:rPr>
                <w:rFonts w:ascii="Arial" w:hAnsi="Arial" w:cs="Arial"/>
                <w:b/>
                <w:sz w:val="24"/>
                <w:szCs w:val="24"/>
              </w:rPr>
              <w:t>And 2 Child</w:t>
            </w:r>
          </w:p>
        </w:tc>
        <w:tc>
          <w:tcPr>
            <w:tcW w:w="7406" w:type="dxa"/>
          </w:tcPr>
          <w:p w14:paraId="1C5C03AA" w14:textId="5DDC0561" w:rsidR="000526C4" w:rsidRDefault="000526C4" w:rsidP="00BC26C5">
            <w:pPr>
              <w:rPr>
                <w:rFonts w:ascii="Arial" w:hAnsi="Arial" w:cs="Arial"/>
                <w:b/>
                <w:sz w:val="24"/>
                <w:szCs w:val="24"/>
              </w:rPr>
            </w:pPr>
            <w:r>
              <w:rPr>
                <w:rFonts w:ascii="Arial" w:hAnsi="Arial" w:cs="Arial"/>
                <w:b/>
                <w:sz w:val="24"/>
                <w:szCs w:val="24"/>
              </w:rPr>
              <w:t>£47,488</w:t>
            </w:r>
          </w:p>
        </w:tc>
      </w:tr>
      <w:tr w:rsidR="000526C4" w14:paraId="139F439F" w14:textId="77777777" w:rsidTr="000526C4">
        <w:tc>
          <w:tcPr>
            <w:tcW w:w="1803" w:type="dxa"/>
          </w:tcPr>
          <w:p w14:paraId="0FFCD351" w14:textId="70E6E3CD" w:rsidR="000526C4" w:rsidRDefault="000526C4" w:rsidP="00BC26C5">
            <w:pPr>
              <w:rPr>
                <w:rFonts w:ascii="Arial" w:hAnsi="Arial" w:cs="Arial"/>
                <w:b/>
                <w:sz w:val="24"/>
                <w:szCs w:val="24"/>
              </w:rPr>
            </w:pPr>
            <w:r>
              <w:rPr>
                <w:rFonts w:ascii="Arial" w:hAnsi="Arial" w:cs="Arial"/>
                <w:b/>
                <w:sz w:val="24"/>
                <w:szCs w:val="24"/>
              </w:rPr>
              <w:t>And 3 Child</w:t>
            </w:r>
          </w:p>
        </w:tc>
        <w:tc>
          <w:tcPr>
            <w:tcW w:w="7406" w:type="dxa"/>
          </w:tcPr>
          <w:p w14:paraId="714387CA" w14:textId="2247FC57" w:rsidR="000526C4" w:rsidRDefault="000526C4" w:rsidP="00BC26C5">
            <w:pPr>
              <w:rPr>
                <w:rFonts w:ascii="Arial" w:hAnsi="Arial" w:cs="Arial"/>
                <w:b/>
                <w:sz w:val="24"/>
                <w:szCs w:val="24"/>
              </w:rPr>
            </w:pPr>
            <w:r>
              <w:rPr>
                <w:rFonts w:ascii="Arial" w:hAnsi="Arial" w:cs="Arial"/>
                <w:b/>
                <w:sz w:val="24"/>
                <w:szCs w:val="24"/>
              </w:rPr>
              <w:t>£52,438</w:t>
            </w:r>
          </w:p>
        </w:tc>
      </w:tr>
      <w:tr w:rsidR="000526C4" w14:paraId="510A5C7C" w14:textId="77777777" w:rsidTr="000526C4">
        <w:tc>
          <w:tcPr>
            <w:tcW w:w="1803" w:type="dxa"/>
          </w:tcPr>
          <w:p w14:paraId="61AFC6EC" w14:textId="109E72E4" w:rsidR="000526C4" w:rsidRDefault="000526C4" w:rsidP="00BC26C5">
            <w:pPr>
              <w:rPr>
                <w:rFonts w:ascii="Arial" w:hAnsi="Arial" w:cs="Arial"/>
                <w:b/>
                <w:sz w:val="24"/>
                <w:szCs w:val="24"/>
              </w:rPr>
            </w:pPr>
            <w:r>
              <w:rPr>
                <w:rFonts w:ascii="Arial" w:hAnsi="Arial" w:cs="Arial"/>
                <w:b/>
                <w:sz w:val="24"/>
                <w:szCs w:val="24"/>
              </w:rPr>
              <w:t>And 4+Child</w:t>
            </w:r>
          </w:p>
        </w:tc>
        <w:tc>
          <w:tcPr>
            <w:tcW w:w="7406" w:type="dxa"/>
          </w:tcPr>
          <w:p w14:paraId="2F6F3635" w14:textId="5549FB5F" w:rsidR="000526C4" w:rsidRDefault="000526C4" w:rsidP="00BC26C5">
            <w:pPr>
              <w:rPr>
                <w:rFonts w:ascii="Arial" w:hAnsi="Arial" w:cs="Arial"/>
                <w:b/>
                <w:sz w:val="24"/>
                <w:szCs w:val="24"/>
              </w:rPr>
            </w:pPr>
            <w:r>
              <w:rPr>
                <w:rFonts w:ascii="Arial" w:hAnsi="Arial" w:cs="Arial"/>
                <w:b/>
                <w:sz w:val="24"/>
                <w:szCs w:val="24"/>
              </w:rPr>
              <w:t>£57,388</w:t>
            </w:r>
          </w:p>
        </w:tc>
      </w:tr>
    </w:tbl>
    <w:p w14:paraId="2353A845" w14:textId="1A35E4D6" w:rsidR="007440DC" w:rsidRDefault="007440DC" w:rsidP="00BC26C5">
      <w:pPr>
        <w:rPr>
          <w:rFonts w:ascii="Arial" w:hAnsi="Arial" w:cs="Arial"/>
          <w:sz w:val="24"/>
          <w:szCs w:val="24"/>
        </w:rPr>
      </w:pPr>
    </w:p>
    <w:p w14:paraId="2098A848" w14:textId="12D44528" w:rsidR="007440DC" w:rsidRDefault="007440DC" w:rsidP="009375C5">
      <w:pPr>
        <w:pStyle w:val="Heading1"/>
        <w:numPr>
          <w:ilvl w:val="0"/>
          <w:numId w:val="18"/>
        </w:numPr>
      </w:pPr>
      <w:r>
        <w:t>Area Based schemes</w:t>
      </w:r>
    </w:p>
    <w:p w14:paraId="5B4FCCEE" w14:textId="7DF6CBE2" w:rsidR="007440DC" w:rsidRDefault="00E30728" w:rsidP="007440DC">
      <w:r>
        <w:t xml:space="preserve">Where permitted to do so, this local authority wishes to set </w:t>
      </w:r>
      <w:r w:rsidR="00A24D47">
        <w:t>clear guidance as to the definition of an eligible area</w:t>
      </w:r>
      <w:r w:rsidR="003116CA">
        <w:t>. Th</w:t>
      </w:r>
      <w:r w:rsidR="00130FEA">
        <w:t>e</w:t>
      </w:r>
      <w:r w:rsidR="003116CA">
        <w:t xml:space="preserve"> </w:t>
      </w:r>
      <w:r w:rsidR="00130FEA">
        <w:t>underpinning principle of defining an area</w:t>
      </w:r>
      <w:r w:rsidR="00B85086">
        <w:t xml:space="preserve"> as being eligible, is that some energy efficiency measures require an element of scale</w:t>
      </w:r>
      <w:r w:rsidR="000675B7">
        <w:t xml:space="preserve">, and homogenous delivery to make them feasible. </w:t>
      </w:r>
      <w:r w:rsidR="004B4659">
        <w:t xml:space="preserve">By excluding a small number of householders in an area, </w:t>
      </w:r>
      <w:r w:rsidR="003563D1">
        <w:t>because they do not</w:t>
      </w:r>
      <w:r w:rsidR="004B4659">
        <w:t xml:space="preserve"> meet </w:t>
      </w:r>
      <w:r w:rsidR="003563D1">
        <w:t xml:space="preserve">the discretionary eligibility as noted above, </w:t>
      </w:r>
      <w:r w:rsidR="00AA55A2">
        <w:t>could negatively impact a significantly higher number of fuel poor households within the same area</w:t>
      </w:r>
      <w:r w:rsidR="00757332">
        <w:t xml:space="preserve">.  For </w:t>
      </w:r>
      <w:r w:rsidR="00D6700C">
        <w:t xml:space="preserve">an </w:t>
      </w:r>
      <w:r w:rsidR="00757332">
        <w:t xml:space="preserve">eligible area, the local authority </w:t>
      </w:r>
      <w:r w:rsidR="008F6D51">
        <w:t>will be looking a</w:t>
      </w:r>
      <w:r w:rsidR="00D6700C">
        <w:t>t postcode level approvals.</w:t>
      </w:r>
      <w:r w:rsidR="008F6D51">
        <w:t xml:space="preserve"> </w:t>
      </w:r>
    </w:p>
    <w:p w14:paraId="3C75CBB7" w14:textId="1A07F1DB" w:rsidR="008F6D51" w:rsidRDefault="004465E4" w:rsidP="00420DBA">
      <w:pPr>
        <w:pStyle w:val="Heading2"/>
      </w:pPr>
      <w:r>
        <w:t xml:space="preserve">3.1 </w:t>
      </w:r>
      <w:r w:rsidR="00420DBA">
        <w:t>Criteria for an eligible</w:t>
      </w:r>
      <w:r w:rsidR="00D6700C">
        <w:t xml:space="preserve"> LSOA which the postcode falls within</w:t>
      </w:r>
    </w:p>
    <w:p w14:paraId="501FEB2C" w14:textId="63C1357E" w:rsidR="00325BBB" w:rsidRDefault="00325BBB" w:rsidP="00420DBA">
      <w:r>
        <w:t>A lower super output area</w:t>
      </w:r>
      <w:r w:rsidR="0041022D">
        <w:t xml:space="preserve"> may be classed as eligible </w:t>
      </w:r>
      <w:r w:rsidR="00F443AD">
        <w:t xml:space="preserve">where </w:t>
      </w:r>
      <w:r w:rsidR="00D6700C">
        <w:t xml:space="preserve">using </w:t>
      </w:r>
      <w:r w:rsidR="00426FF7">
        <w:t>the English Indices of Deprivation</w:t>
      </w:r>
      <w:r w:rsidR="002B0D52">
        <w:t>:</w:t>
      </w:r>
    </w:p>
    <w:p w14:paraId="56F2715B" w14:textId="3DD619FA" w:rsidR="002B0D52" w:rsidRDefault="002B0D52" w:rsidP="002B0D52">
      <w:pPr>
        <w:pStyle w:val="ListParagraph"/>
        <w:numPr>
          <w:ilvl w:val="0"/>
          <w:numId w:val="11"/>
        </w:numPr>
      </w:pPr>
      <w:r>
        <w:t xml:space="preserve">Income deprivation of the LSOA is in the </w:t>
      </w:r>
      <w:r w:rsidR="00D6700C">
        <w:t>40</w:t>
      </w:r>
      <w:r>
        <w:t>% of most deprived neighbourhoods in the country</w:t>
      </w:r>
      <w:r w:rsidR="004465E4">
        <w:rPr>
          <w:rStyle w:val="FootnoteReference"/>
        </w:rPr>
        <w:footnoteReference w:id="4"/>
      </w:r>
    </w:p>
    <w:p w14:paraId="2694674E" w14:textId="57A66020" w:rsidR="002B0D52" w:rsidRDefault="002B0D52" w:rsidP="002B0D52">
      <w:r>
        <w:t>AND</w:t>
      </w:r>
    </w:p>
    <w:p w14:paraId="24C2876A" w14:textId="7F66886A" w:rsidR="002B0D52" w:rsidRDefault="00D6700C" w:rsidP="002B0D52">
      <w:pPr>
        <w:pStyle w:val="ListParagraph"/>
        <w:numPr>
          <w:ilvl w:val="0"/>
          <w:numId w:val="11"/>
        </w:numPr>
      </w:pPr>
      <w:r>
        <w:t>For the Postcodes of the Area Based Scheme, more than 60% have a published EPC of D, or below</w:t>
      </w:r>
      <w:r w:rsidR="00C618E1">
        <w:rPr>
          <w:rStyle w:val="FootnoteReference"/>
        </w:rPr>
        <w:footnoteReference w:id="5"/>
      </w:r>
      <w:r>
        <w:t xml:space="preserve">. </w:t>
      </w:r>
    </w:p>
    <w:p w14:paraId="417B2E27" w14:textId="54C880CB" w:rsidR="00420DBA" w:rsidRDefault="003F50FE" w:rsidP="00420DBA">
      <w:r>
        <w:t xml:space="preserve">Council </w:t>
      </w:r>
      <w:r w:rsidR="00757EBD">
        <w:t>discretion:</w:t>
      </w:r>
      <w:r w:rsidR="00844CF6">
        <w:t xml:space="preserve"> </w:t>
      </w:r>
      <w:r w:rsidR="00C618E1">
        <w:t>t</w:t>
      </w:r>
      <w:r w:rsidR="00844CF6">
        <w:t xml:space="preserve">he local authority reserves the right to review </w:t>
      </w:r>
      <w:r w:rsidR="00757EBD">
        <w:t>area-based</w:t>
      </w:r>
      <w:r w:rsidR="00844CF6">
        <w:t xml:space="preserve"> schemes </w:t>
      </w:r>
      <w:r w:rsidR="00360C13">
        <w:t xml:space="preserve">on a </w:t>
      </w:r>
      <w:r w:rsidR="00757EBD">
        <w:t>case-by-case</w:t>
      </w:r>
      <w:r w:rsidR="00360C13">
        <w:t xml:space="preserve"> basis. </w:t>
      </w:r>
      <w:r w:rsidR="000A6960">
        <w:t xml:space="preserve"> Where individual energy efficiency schemes cannot benefit the majority</w:t>
      </w:r>
      <w:r w:rsidR="00C34B9C">
        <w:t xml:space="preserve"> of</w:t>
      </w:r>
      <w:r w:rsidR="000A6960">
        <w:t xml:space="preserve"> fuel poor</w:t>
      </w:r>
      <w:r w:rsidR="00B72C42">
        <w:t xml:space="preserve"> households</w:t>
      </w:r>
      <w:r w:rsidR="000A6960">
        <w:t xml:space="preserve">, due to the </w:t>
      </w:r>
      <w:r w:rsidR="00C34B9C">
        <w:t xml:space="preserve">circumstances of a minority </w:t>
      </w:r>
      <w:r w:rsidR="00C618E1">
        <w:t xml:space="preserve">of </w:t>
      </w:r>
      <w:r w:rsidR="00C34B9C">
        <w:t>none</w:t>
      </w:r>
      <w:r w:rsidR="00C618E1">
        <w:t>-</w:t>
      </w:r>
      <w:r w:rsidR="00C34B9C">
        <w:t>fuel</w:t>
      </w:r>
      <w:r w:rsidR="00C618E1">
        <w:t>-</w:t>
      </w:r>
      <w:r w:rsidR="00C34B9C">
        <w:t>poor</w:t>
      </w:r>
      <w:r w:rsidR="00C618E1">
        <w:t xml:space="preserve"> households</w:t>
      </w:r>
      <w:r w:rsidR="009475E2">
        <w:t xml:space="preserve">, the local authority </w:t>
      </w:r>
      <w:r w:rsidR="00FC7B15">
        <w:t xml:space="preserve">may exercise discretion. In such circumstances it will record the </w:t>
      </w:r>
      <w:r w:rsidR="00B72C42">
        <w:t xml:space="preserve">evidence that it has collated to reach this judgement. </w:t>
      </w:r>
    </w:p>
    <w:p w14:paraId="747808E0" w14:textId="77777777" w:rsidR="00665100" w:rsidRDefault="00665100" w:rsidP="00BC26C5">
      <w:pPr>
        <w:rPr>
          <w:rFonts w:ascii="Arial" w:hAnsi="Arial" w:cs="Arial"/>
          <w:b/>
          <w:sz w:val="24"/>
          <w:szCs w:val="24"/>
        </w:rPr>
      </w:pPr>
    </w:p>
    <w:p w14:paraId="526B6ADC" w14:textId="4A55EEC2" w:rsidR="00BC26C5" w:rsidRDefault="0076092C" w:rsidP="007440DC">
      <w:pPr>
        <w:pStyle w:val="Heading1"/>
      </w:pPr>
      <w:r>
        <w:t>4</w:t>
      </w:r>
      <w:r w:rsidR="00BC26C5" w:rsidRPr="00A3663F">
        <w:t>. Referrals</w:t>
      </w:r>
    </w:p>
    <w:p w14:paraId="7DEF6537" w14:textId="61669DE8" w:rsidR="00BC26C5" w:rsidRPr="00A3663F" w:rsidRDefault="00BC26C5" w:rsidP="00BC26C5">
      <w:pPr>
        <w:rPr>
          <w:rFonts w:ascii="Arial" w:hAnsi="Arial" w:cs="Arial"/>
          <w:sz w:val="24"/>
          <w:szCs w:val="24"/>
        </w:rPr>
      </w:pPr>
      <w:r>
        <w:rPr>
          <w:rFonts w:ascii="Arial" w:hAnsi="Arial" w:cs="Arial"/>
          <w:sz w:val="24"/>
          <w:szCs w:val="24"/>
        </w:rPr>
        <w:t xml:space="preserve">Referrals to schemes will come from a variety of sources including council departments, the health and social care sectors, the voluntary sector and other agencies.  </w:t>
      </w:r>
    </w:p>
    <w:p w14:paraId="76F4314F" w14:textId="6C8FD017" w:rsidR="00BC26C5" w:rsidRDefault="0076092C" w:rsidP="007440DC">
      <w:pPr>
        <w:pStyle w:val="Heading1"/>
      </w:pPr>
      <w:r w:rsidRPr="0076092C">
        <w:rPr>
          <w:b/>
        </w:rPr>
        <w:t>5</w:t>
      </w:r>
      <w:r w:rsidR="00BC26C5">
        <w:t>. Signature</w:t>
      </w:r>
    </w:p>
    <w:p w14:paraId="6D6425A9" w14:textId="72FA088C" w:rsidR="0076092C" w:rsidRDefault="00297053" w:rsidP="00BC26C5">
      <w:pPr>
        <w:rPr>
          <w:rFonts w:ascii="Arial" w:hAnsi="Arial" w:cs="Arial"/>
          <w:i/>
          <w:sz w:val="24"/>
          <w:szCs w:val="24"/>
        </w:rPr>
      </w:pPr>
      <w:r>
        <w:rPr>
          <w:rFonts w:ascii="Arial" w:hAnsi="Arial" w:cs="Arial"/>
          <w:i/>
          <w:sz w:val="24"/>
          <w:szCs w:val="24"/>
        </w:rPr>
        <w:pict w14:anchorId="04ED2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6.25pt;mso-left-percent:-10001;mso-top-percent:-10001;mso-position-horizontal:absolute;mso-position-horizontal-relative:char;mso-position-vertical:absolute;mso-position-vertical-relative:line;mso-left-percent:-10001;mso-top-percent:-10001">
            <v:imagedata r:id="rId10" o:title="christie's signature"/>
          </v:shape>
        </w:pict>
      </w:r>
    </w:p>
    <w:p w14:paraId="5F95EA07" w14:textId="18A77DBF" w:rsidR="00BC26C5" w:rsidRPr="009C1976" w:rsidRDefault="0076092C" w:rsidP="007440DC">
      <w:pPr>
        <w:pStyle w:val="Heading1"/>
      </w:pPr>
      <w:r>
        <w:t>6</w:t>
      </w:r>
      <w:r w:rsidR="00BC26C5" w:rsidRPr="009C1976">
        <w:t>. Key Contacts</w:t>
      </w:r>
    </w:p>
    <w:p w14:paraId="153FE6F6" w14:textId="55077C0D" w:rsidR="00BC26C5" w:rsidRPr="00C618E1" w:rsidRDefault="00BC26C5" w:rsidP="00BC26C5">
      <w:pPr>
        <w:rPr>
          <w:rFonts w:ascii="Arial" w:hAnsi="Arial" w:cs="Arial"/>
          <w:sz w:val="24"/>
          <w:szCs w:val="24"/>
          <w:lang w:val="en-US"/>
        </w:rPr>
      </w:pPr>
      <w:r w:rsidRPr="009C1976">
        <w:rPr>
          <w:rFonts w:ascii="Arial" w:hAnsi="Arial" w:cs="Arial"/>
          <w:bCs/>
          <w:sz w:val="24"/>
          <w:szCs w:val="24"/>
          <w:lang w:val="en-US"/>
        </w:rPr>
        <w:t xml:space="preserve">For comments in relation to this </w:t>
      </w:r>
      <w:r>
        <w:rPr>
          <w:rFonts w:ascii="Arial" w:hAnsi="Arial" w:cs="Arial"/>
          <w:bCs/>
          <w:sz w:val="24"/>
          <w:szCs w:val="24"/>
          <w:lang w:val="en-US"/>
        </w:rPr>
        <w:t xml:space="preserve">Statement of Intent </w:t>
      </w:r>
      <w:r w:rsidRPr="009C1976">
        <w:rPr>
          <w:rFonts w:ascii="Arial" w:hAnsi="Arial" w:cs="Arial"/>
          <w:bCs/>
          <w:sz w:val="24"/>
          <w:szCs w:val="24"/>
          <w:lang w:val="en-US"/>
        </w:rPr>
        <w:t>and its development please contact</w:t>
      </w:r>
      <w:r>
        <w:rPr>
          <w:rFonts w:ascii="Arial" w:hAnsi="Arial" w:cs="Arial"/>
          <w:bCs/>
          <w:sz w:val="24"/>
          <w:szCs w:val="24"/>
          <w:lang w:val="en-US"/>
        </w:rPr>
        <w:t xml:space="preserve"> </w:t>
      </w:r>
      <w:r w:rsidR="00C618E1" w:rsidRPr="00C618E1">
        <w:rPr>
          <w:rFonts w:ascii="Arial" w:hAnsi="Arial" w:cs="Arial"/>
          <w:bCs/>
          <w:sz w:val="24"/>
          <w:szCs w:val="24"/>
          <w:lang w:val="en-US"/>
        </w:rPr>
        <w:t>the Housing Strategy Team</w:t>
      </w:r>
      <w:r w:rsidRPr="00C618E1">
        <w:rPr>
          <w:rFonts w:ascii="Arial" w:hAnsi="Arial" w:cs="Arial"/>
          <w:bCs/>
          <w:sz w:val="24"/>
          <w:szCs w:val="24"/>
          <w:lang w:val="en-US"/>
        </w:rPr>
        <w:t>:</w:t>
      </w:r>
    </w:p>
    <w:p w14:paraId="4F8C2BBB" w14:textId="7F42C342" w:rsidR="00BC26C5" w:rsidRPr="00C618E1" w:rsidRDefault="00BC26C5" w:rsidP="00BC26C5">
      <w:pPr>
        <w:pStyle w:val="ListParagraph"/>
        <w:numPr>
          <w:ilvl w:val="0"/>
          <w:numId w:val="3"/>
        </w:numPr>
        <w:spacing w:after="0"/>
        <w:rPr>
          <w:rFonts w:ascii="Arial" w:hAnsi="Arial" w:cs="Arial"/>
          <w:sz w:val="24"/>
          <w:szCs w:val="24"/>
          <w:lang w:val="en-US"/>
        </w:rPr>
      </w:pPr>
      <w:r w:rsidRPr="00C618E1">
        <w:rPr>
          <w:rFonts w:ascii="Arial" w:hAnsi="Arial" w:cs="Arial"/>
          <w:sz w:val="24"/>
          <w:szCs w:val="24"/>
          <w:lang w:val="en-US"/>
        </w:rPr>
        <w:t xml:space="preserve">Telephone: </w:t>
      </w:r>
      <w:r w:rsidR="00C618E1">
        <w:rPr>
          <w:rFonts w:ascii="Arial" w:hAnsi="Arial" w:cs="Arial"/>
          <w:sz w:val="24"/>
          <w:szCs w:val="24"/>
          <w:lang w:val="en-US"/>
        </w:rPr>
        <w:tab/>
      </w:r>
      <w:r w:rsidR="00C618E1" w:rsidRPr="00C618E1">
        <w:rPr>
          <w:rFonts w:ascii="Arial" w:hAnsi="Arial" w:cs="Arial"/>
          <w:sz w:val="24"/>
          <w:szCs w:val="24"/>
          <w:lang w:val="en-US"/>
        </w:rPr>
        <w:t>01543 308000</w:t>
      </w:r>
    </w:p>
    <w:p w14:paraId="4F767FE5" w14:textId="5EBFCDB0" w:rsidR="00BC26C5" w:rsidRPr="009C1976" w:rsidRDefault="00BC26C5" w:rsidP="00BC26C5">
      <w:pPr>
        <w:pStyle w:val="ListParagraph"/>
        <w:numPr>
          <w:ilvl w:val="0"/>
          <w:numId w:val="3"/>
        </w:numPr>
        <w:spacing w:after="0"/>
        <w:rPr>
          <w:rFonts w:ascii="Arial" w:hAnsi="Arial" w:cs="Arial"/>
          <w:sz w:val="24"/>
          <w:szCs w:val="24"/>
          <w:lang w:val="en-US"/>
        </w:rPr>
      </w:pPr>
      <w:r w:rsidRPr="009C1976">
        <w:rPr>
          <w:rFonts w:ascii="Arial" w:hAnsi="Arial" w:cs="Arial"/>
          <w:sz w:val="24"/>
          <w:szCs w:val="24"/>
          <w:lang w:val="en-US"/>
        </w:rPr>
        <w:t xml:space="preserve">Email: </w:t>
      </w:r>
      <w:r w:rsidR="00C618E1">
        <w:rPr>
          <w:rFonts w:ascii="Arial" w:hAnsi="Arial" w:cs="Arial"/>
          <w:sz w:val="24"/>
          <w:szCs w:val="24"/>
          <w:lang w:val="en-US"/>
        </w:rPr>
        <w:tab/>
      </w:r>
      <w:hyperlink r:id="rId11" w:history="1">
        <w:r w:rsidR="00C618E1" w:rsidRPr="004D26DD">
          <w:rPr>
            <w:rStyle w:val="Hyperlink"/>
          </w:rPr>
          <w:t>housing@lichfielddc.gov.uk</w:t>
        </w:r>
      </w:hyperlink>
      <w:r w:rsidR="00C618E1">
        <w:rPr>
          <w:color w:val="FF0000"/>
        </w:rPr>
        <w:t xml:space="preserve"> </w:t>
      </w:r>
    </w:p>
    <w:p w14:paraId="1F5078B2" w14:textId="0074E9D0" w:rsidR="003031B3" w:rsidRDefault="00BC26C5" w:rsidP="002871E0">
      <w:pPr>
        <w:pStyle w:val="ListParagraph"/>
        <w:numPr>
          <w:ilvl w:val="0"/>
          <w:numId w:val="3"/>
        </w:numPr>
        <w:spacing w:after="0"/>
      </w:pPr>
      <w:r w:rsidRPr="003D0870">
        <w:rPr>
          <w:rFonts w:ascii="Arial" w:hAnsi="Arial" w:cs="Arial"/>
          <w:sz w:val="24"/>
          <w:szCs w:val="24"/>
          <w:lang w:val="en-US"/>
        </w:rPr>
        <w:t xml:space="preserve">Post: </w:t>
      </w:r>
      <w:r w:rsidR="00C618E1" w:rsidRPr="003D0870">
        <w:rPr>
          <w:rFonts w:ascii="Arial" w:hAnsi="Arial" w:cs="Arial"/>
          <w:sz w:val="24"/>
          <w:szCs w:val="24"/>
          <w:lang w:val="en-US"/>
        </w:rPr>
        <w:tab/>
      </w:r>
      <w:r w:rsidR="00C618E1" w:rsidRPr="003D0870">
        <w:rPr>
          <w:rFonts w:ascii="Arial" w:hAnsi="Arial" w:cs="Arial"/>
          <w:sz w:val="24"/>
          <w:szCs w:val="24"/>
          <w:lang w:val="en-US"/>
        </w:rPr>
        <w:tab/>
        <w:t>Housing and Wellbeing Strategy Officer</w:t>
      </w:r>
    </w:p>
    <w:sectPr w:rsidR="003031B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8B43" w14:textId="77777777" w:rsidR="00CC61D6" w:rsidRDefault="00CC61D6" w:rsidP="00BC26C5">
      <w:pPr>
        <w:spacing w:after="0" w:line="240" w:lineRule="auto"/>
      </w:pPr>
      <w:r>
        <w:separator/>
      </w:r>
    </w:p>
  </w:endnote>
  <w:endnote w:type="continuationSeparator" w:id="0">
    <w:p w14:paraId="6D8C08DC" w14:textId="77777777" w:rsidR="00CC61D6" w:rsidRDefault="00CC61D6" w:rsidP="00BC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2AA38" w14:textId="77777777" w:rsidR="00CC61D6" w:rsidRDefault="00CC61D6" w:rsidP="00BC26C5">
      <w:pPr>
        <w:spacing w:after="0" w:line="240" w:lineRule="auto"/>
      </w:pPr>
      <w:r>
        <w:separator/>
      </w:r>
    </w:p>
  </w:footnote>
  <w:footnote w:type="continuationSeparator" w:id="0">
    <w:p w14:paraId="6EB4A2B1" w14:textId="77777777" w:rsidR="00CC61D6" w:rsidRDefault="00CC61D6" w:rsidP="00BC26C5">
      <w:pPr>
        <w:spacing w:after="0" w:line="240" w:lineRule="auto"/>
      </w:pPr>
      <w:r>
        <w:continuationSeparator/>
      </w:r>
    </w:p>
  </w:footnote>
  <w:footnote w:id="1">
    <w:p w14:paraId="20AB3B2D" w14:textId="4A0DBA8D" w:rsidR="006C59BE" w:rsidRDefault="006C59BE">
      <w:pPr>
        <w:pStyle w:val="FootnoteText"/>
      </w:pPr>
      <w:r>
        <w:rPr>
          <w:rStyle w:val="FootnoteReference"/>
        </w:rPr>
        <w:footnoteRef/>
      </w:r>
      <w:r>
        <w:t xml:space="preserve"> </w:t>
      </w:r>
      <w:hyperlink r:id="rId1" w:history="1">
        <w:r>
          <w:rPr>
            <w:rStyle w:val="Hyperlink"/>
          </w:rPr>
          <w:t>Energy Performance of Buildings Data: England and Wales (opendatacommunities.org)</w:t>
        </w:r>
      </w:hyperlink>
      <w:r>
        <w:t xml:space="preserve"> </w:t>
      </w:r>
    </w:p>
  </w:footnote>
  <w:footnote w:id="2">
    <w:p w14:paraId="0A72CD76" w14:textId="383B2563" w:rsidR="00327AA3" w:rsidRDefault="00327AA3">
      <w:pPr>
        <w:pStyle w:val="FootnoteText"/>
      </w:pPr>
      <w:r>
        <w:rPr>
          <w:rStyle w:val="FootnoteReference"/>
        </w:rPr>
        <w:footnoteRef/>
      </w:r>
      <w:r>
        <w:t xml:space="preserve"> </w:t>
      </w:r>
      <w:hyperlink r:id="rId2" w:history="1">
        <w:r>
          <w:rPr>
            <w:rStyle w:val="Hyperlink"/>
          </w:rPr>
          <w:t>Energy Company Obligation (ECO): Help to Heat scheme - flexible eligibility (www.gov.uk)</w:t>
        </w:r>
      </w:hyperlink>
    </w:p>
    <w:p w14:paraId="39B4F1E5" w14:textId="77777777" w:rsidR="00327AA3" w:rsidRDefault="00327AA3">
      <w:pPr>
        <w:pStyle w:val="FootnoteText"/>
      </w:pPr>
    </w:p>
  </w:footnote>
  <w:footnote w:id="3">
    <w:p w14:paraId="242E3450" w14:textId="52E8CF85" w:rsidR="009375C5" w:rsidRDefault="00DA6FDA">
      <w:pPr>
        <w:pStyle w:val="FootnoteText"/>
      </w:pPr>
      <w:hyperlink r:id="rId3" w:history="1">
        <w:r w:rsidR="009375C5" w:rsidRPr="009375C5">
          <w:rPr>
            <w:rStyle w:val="Hyperlink"/>
            <w:vertAlign w:val="superscript"/>
          </w:rPr>
          <w:footnoteRef/>
        </w:r>
        <w:r w:rsidR="009375C5" w:rsidRPr="009375C5">
          <w:rPr>
            <w:rStyle w:val="Hyperlink"/>
          </w:rPr>
          <w:t xml:space="preserve"> Sustainable Warmth Competition: Guidance for Local Authorities (pblishing.service.gov.uk)</w:t>
        </w:r>
      </w:hyperlink>
    </w:p>
  </w:footnote>
  <w:footnote w:id="4">
    <w:p w14:paraId="59AF673B" w14:textId="7FD3C0C2" w:rsidR="004465E4" w:rsidRDefault="004465E4" w:rsidP="00C618E1">
      <w:r>
        <w:rPr>
          <w:rStyle w:val="FootnoteReference"/>
        </w:rPr>
        <w:footnoteRef/>
      </w:r>
      <w:r>
        <w:t xml:space="preserve"> </w:t>
      </w:r>
      <w:r w:rsidR="00C618E1">
        <w:t xml:space="preserve">Details to be taken from </w:t>
      </w:r>
      <w:hyperlink r:id="rId4" w:history="1">
        <w:r w:rsidR="00C618E1" w:rsidRPr="002B0D52">
          <w:rPr>
            <w:color w:val="0000FF"/>
            <w:u w:val="single"/>
          </w:rPr>
          <w:t>Indices of Deprivation 2015 and 2019 (communities.gov.uk)</w:t>
        </w:r>
      </w:hyperlink>
      <w:r w:rsidR="00C618E1">
        <w:t xml:space="preserve"> mapping tool.</w:t>
      </w:r>
    </w:p>
  </w:footnote>
  <w:footnote w:id="5">
    <w:p w14:paraId="28C9EB40" w14:textId="3F74723B" w:rsidR="00C618E1" w:rsidRPr="00420DBA" w:rsidRDefault="00C618E1" w:rsidP="00C618E1">
      <w:r>
        <w:rPr>
          <w:rStyle w:val="FootnoteReference"/>
        </w:rPr>
        <w:footnoteRef/>
      </w:r>
      <w:r>
        <w:t xml:space="preserve"> Details to be taken from </w:t>
      </w:r>
      <w:hyperlink r:id="rId5" w:history="1">
        <w:r w:rsidRPr="00D6700C">
          <w:rPr>
            <w:color w:val="0000FF"/>
            <w:u w:val="single"/>
          </w:rPr>
          <w:t>Energy Performance of Buildings Data England and Wales (opendatacommunities.org)</w:t>
        </w:r>
      </w:hyperlink>
      <w:r>
        <w:t xml:space="preserve"> </w:t>
      </w:r>
    </w:p>
    <w:p w14:paraId="1B8C3595" w14:textId="5C5FCE79" w:rsidR="00C618E1" w:rsidRDefault="00C618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3DBA" w14:textId="69E1B672" w:rsidR="00BC26C5" w:rsidRDefault="00BC2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7EF"/>
    <w:multiLevelType w:val="multilevel"/>
    <w:tmpl w:val="7C9C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53273"/>
    <w:multiLevelType w:val="hybridMultilevel"/>
    <w:tmpl w:val="3562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21D5E"/>
    <w:multiLevelType w:val="multilevel"/>
    <w:tmpl w:val="B3C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2087E"/>
    <w:multiLevelType w:val="hybridMultilevel"/>
    <w:tmpl w:val="64F0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65FCE"/>
    <w:multiLevelType w:val="hybridMultilevel"/>
    <w:tmpl w:val="BB9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04DC6"/>
    <w:multiLevelType w:val="hybridMultilevel"/>
    <w:tmpl w:val="D828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74434"/>
    <w:multiLevelType w:val="hybridMultilevel"/>
    <w:tmpl w:val="1E90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D27D8"/>
    <w:multiLevelType w:val="hybridMultilevel"/>
    <w:tmpl w:val="75B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82974"/>
    <w:multiLevelType w:val="hybridMultilevel"/>
    <w:tmpl w:val="121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51538"/>
    <w:multiLevelType w:val="hybridMultilevel"/>
    <w:tmpl w:val="5372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50E49"/>
    <w:multiLevelType w:val="multilevel"/>
    <w:tmpl w:val="7E9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512D8"/>
    <w:multiLevelType w:val="hybridMultilevel"/>
    <w:tmpl w:val="477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21B0E"/>
    <w:multiLevelType w:val="hybridMultilevel"/>
    <w:tmpl w:val="137C038C"/>
    <w:lvl w:ilvl="0" w:tplc="74F4324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4B3238"/>
    <w:multiLevelType w:val="hybridMultilevel"/>
    <w:tmpl w:val="B540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F6220"/>
    <w:multiLevelType w:val="hybridMultilevel"/>
    <w:tmpl w:val="177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E600D"/>
    <w:multiLevelType w:val="hybridMultilevel"/>
    <w:tmpl w:val="BE4CE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EF16F79"/>
    <w:multiLevelType w:val="hybridMultilevel"/>
    <w:tmpl w:val="781A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378E8"/>
    <w:multiLevelType w:val="multilevel"/>
    <w:tmpl w:val="6A0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6"/>
  </w:num>
  <w:num w:numId="5">
    <w:abstractNumId w:val="1"/>
  </w:num>
  <w:num w:numId="6">
    <w:abstractNumId w:val="9"/>
  </w:num>
  <w:num w:numId="7">
    <w:abstractNumId w:val="8"/>
  </w:num>
  <w:num w:numId="8">
    <w:abstractNumId w:val="11"/>
  </w:num>
  <w:num w:numId="9">
    <w:abstractNumId w:val="13"/>
  </w:num>
  <w:num w:numId="10">
    <w:abstractNumId w:val="15"/>
  </w:num>
  <w:num w:numId="11">
    <w:abstractNumId w:val="3"/>
  </w:num>
  <w:num w:numId="12">
    <w:abstractNumId w:val="17"/>
  </w:num>
  <w:num w:numId="13">
    <w:abstractNumId w:val="10"/>
  </w:num>
  <w:num w:numId="14">
    <w:abstractNumId w:val="0"/>
  </w:num>
  <w:num w:numId="15">
    <w:abstractNumId w:val="6"/>
  </w:num>
  <w:num w:numId="16">
    <w:abstractNumId w:val="7"/>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C5"/>
    <w:rsid w:val="000526C4"/>
    <w:rsid w:val="00064395"/>
    <w:rsid w:val="000671B1"/>
    <w:rsid w:val="000675B7"/>
    <w:rsid w:val="00070C35"/>
    <w:rsid w:val="00071CB5"/>
    <w:rsid w:val="000845AE"/>
    <w:rsid w:val="000A6960"/>
    <w:rsid w:val="000B07EC"/>
    <w:rsid w:val="000D0DE9"/>
    <w:rsid w:val="001000B8"/>
    <w:rsid w:val="00102A64"/>
    <w:rsid w:val="00110F6E"/>
    <w:rsid w:val="001172B7"/>
    <w:rsid w:val="00120864"/>
    <w:rsid w:val="00130FEA"/>
    <w:rsid w:val="001421A4"/>
    <w:rsid w:val="00151727"/>
    <w:rsid w:val="00153646"/>
    <w:rsid w:val="00163F00"/>
    <w:rsid w:val="00166BDE"/>
    <w:rsid w:val="00186744"/>
    <w:rsid w:val="00192A76"/>
    <w:rsid w:val="001B459F"/>
    <w:rsid w:val="001D692C"/>
    <w:rsid w:val="001F48E1"/>
    <w:rsid w:val="002012D3"/>
    <w:rsid w:val="00202F2B"/>
    <w:rsid w:val="00205812"/>
    <w:rsid w:val="002443A9"/>
    <w:rsid w:val="00255659"/>
    <w:rsid w:val="002628AC"/>
    <w:rsid w:val="00275C40"/>
    <w:rsid w:val="00294F83"/>
    <w:rsid w:val="00297053"/>
    <w:rsid w:val="002B0D52"/>
    <w:rsid w:val="002C5ED3"/>
    <w:rsid w:val="003014A0"/>
    <w:rsid w:val="003116CA"/>
    <w:rsid w:val="00314619"/>
    <w:rsid w:val="00325BBB"/>
    <w:rsid w:val="00327AA3"/>
    <w:rsid w:val="00336315"/>
    <w:rsid w:val="00344085"/>
    <w:rsid w:val="00345B55"/>
    <w:rsid w:val="00351DDD"/>
    <w:rsid w:val="003563D1"/>
    <w:rsid w:val="00360C13"/>
    <w:rsid w:val="0036770F"/>
    <w:rsid w:val="003717E4"/>
    <w:rsid w:val="00386ABA"/>
    <w:rsid w:val="003B01E0"/>
    <w:rsid w:val="003B0FC2"/>
    <w:rsid w:val="003D0870"/>
    <w:rsid w:val="003D3C69"/>
    <w:rsid w:val="003D683E"/>
    <w:rsid w:val="003E4FAA"/>
    <w:rsid w:val="003F50FE"/>
    <w:rsid w:val="00401C34"/>
    <w:rsid w:val="0040546D"/>
    <w:rsid w:val="0041022D"/>
    <w:rsid w:val="004172F4"/>
    <w:rsid w:val="00420DBA"/>
    <w:rsid w:val="00426FF7"/>
    <w:rsid w:val="004446BF"/>
    <w:rsid w:val="004465E4"/>
    <w:rsid w:val="00450768"/>
    <w:rsid w:val="00467BAD"/>
    <w:rsid w:val="0047782D"/>
    <w:rsid w:val="00492DC2"/>
    <w:rsid w:val="004A0385"/>
    <w:rsid w:val="004B08DB"/>
    <w:rsid w:val="004B4659"/>
    <w:rsid w:val="004D02E8"/>
    <w:rsid w:val="004E51E6"/>
    <w:rsid w:val="004E6032"/>
    <w:rsid w:val="005231B1"/>
    <w:rsid w:val="00531294"/>
    <w:rsid w:val="0055683C"/>
    <w:rsid w:val="00584662"/>
    <w:rsid w:val="00595C0F"/>
    <w:rsid w:val="005A5E82"/>
    <w:rsid w:val="005F212D"/>
    <w:rsid w:val="00605253"/>
    <w:rsid w:val="00615E57"/>
    <w:rsid w:val="00631513"/>
    <w:rsid w:val="00663B18"/>
    <w:rsid w:val="00665100"/>
    <w:rsid w:val="00670B7E"/>
    <w:rsid w:val="006819A4"/>
    <w:rsid w:val="006B03BA"/>
    <w:rsid w:val="006C59BE"/>
    <w:rsid w:val="006D7542"/>
    <w:rsid w:val="00701B08"/>
    <w:rsid w:val="007440DC"/>
    <w:rsid w:val="00757332"/>
    <w:rsid w:val="00757EBD"/>
    <w:rsid w:val="0076092C"/>
    <w:rsid w:val="00773FF2"/>
    <w:rsid w:val="007A0D22"/>
    <w:rsid w:val="007B4CCC"/>
    <w:rsid w:val="007D5F08"/>
    <w:rsid w:val="007F1386"/>
    <w:rsid w:val="00803C3E"/>
    <w:rsid w:val="00816FF1"/>
    <w:rsid w:val="00844C72"/>
    <w:rsid w:val="00844CF6"/>
    <w:rsid w:val="00895110"/>
    <w:rsid w:val="008A4ECE"/>
    <w:rsid w:val="008B44C2"/>
    <w:rsid w:val="008F6D51"/>
    <w:rsid w:val="00907757"/>
    <w:rsid w:val="00915CA3"/>
    <w:rsid w:val="00916AE2"/>
    <w:rsid w:val="009367BF"/>
    <w:rsid w:val="009375C5"/>
    <w:rsid w:val="009475E2"/>
    <w:rsid w:val="00952D32"/>
    <w:rsid w:val="00957F1F"/>
    <w:rsid w:val="009756C6"/>
    <w:rsid w:val="00982A5B"/>
    <w:rsid w:val="009A228B"/>
    <w:rsid w:val="009E55F8"/>
    <w:rsid w:val="009F4A45"/>
    <w:rsid w:val="00A16FB4"/>
    <w:rsid w:val="00A24D47"/>
    <w:rsid w:val="00A27631"/>
    <w:rsid w:val="00A5787E"/>
    <w:rsid w:val="00A770D7"/>
    <w:rsid w:val="00AA55A2"/>
    <w:rsid w:val="00AB38C2"/>
    <w:rsid w:val="00AC09C8"/>
    <w:rsid w:val="00AD5E2B"/>
    <w:rsid w:val="00B02443"/>
    <w:rsid w:val="00B1151C"/>
    <w:rsid w:val="00B22683"/>
    <w:rsid w:val="00B36228"/>
    <w:rsid w:val="00B7255E"/>
    <w:rsid w:val="00B72C42"/>
    <w:rsid w:val="00B85086"/>
    <w:rsid w:val="00B9728E"/>
    <w:rsid w:val="00BC26C5"/>
    <w:rsid w:val="00C34B9C"/>
    <w:rsid w:val="00C35CB2"/>
    <w:rsid w:val="00C42FF6"/>
    <w:rsid w:val="00C512DC"/>
    <w:rsid w:val="00C554C6"/>
    <w:rsid w:val="00C618E1"/>
    <w:rsid w:val="00C926DF"/>
    <w:rsid w:val="00C971C3"/>
    <w:rsid w:val="00CA2961"/>
    <w:rsid w:val="00CC40A3"/>
    <w:rsid w:val="00CC61D6"/>
    <w:rsid w:val="00CE3EF2"/>
    <w:rsid w:val="00CF1DE1"/>
    <w:rsid w:val="00D25A90"/>
    <w:rsid w:val="00D40520"/>
    <w:rsid w:val="00D41F94"/>
    <w:rsid w:val="00D6112F"/>
    <w:rsid w:val="00D6700C"/>
    <w:rsid w:val="00D749BB"/>
    <w:rsid w:val="00DA6FDA"/>
    <w:rsid w:val="00DB2700"/>
    <w:rsid w:val="00DE321D"/>
    <w:rsid w:val="00DF397C"/>
    <w:rsid w:val="00DF54F6"/>
    <w:rsid w:val="00E234DF"/>
    <w:rsid w:val="00E30728"/>
    <w:rsid w:val="00E322BA"/>
    <w:rsid w:val="00E46314"/>
    <w:rsid w:val="00E6637E"/>
    <w:rsid w:val="00E76C1F"/>
    <w:rsid w:val="00E76F07"/>
    <w:rsid w:val="00EB1F10"/>
    <w:rsid w:val="00EC2F5F"/>
    <w:rsid w:val="00EC673C"/>
    <w:rsid w:val="00EE205B"/>
    <w:rsid w:val="00EE3742"/>
    <w:rsid w:val="00EE4764"/>
    <w:rsid w:val="00F01605"/>
    <w:rsid w:val="00F02978"/>
    <w:rsid w:val="00F04631"/>
    <w:rsid w:val="00F20C99"/>
    <w:rsid w:val="00F4438C"/>
    <w:rsid w:val="00F443AD"/>
    <w:rsid w:val="00F66099"/>
    <w:rsid w:val="00F959E3"/>
    <w:rsid w:val="00FA0CD0"/>
    <w:rsid w:val="00FC5D0F"/>
    <w:rsid w:val="00FC7B15"/>
    <w:rsid w:val="00FD46DE"/>
    <w:rsid w:val="00FF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4630A"/>
  <w15:chartTrackingRefBased/>
  <w15:docId w15:val="{4044083C-394B-43EC-9E34-DA149FE6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C5"/>
    <w:pPr>
      <w:spacing w:after="200" w:line="276" w:lineRule="auto"/>
    </w:pPr>
  </w:style>
  <w:style w:type="paragraph" w:styleId="Heading1">
    <w:name w:val="heading 1"/>
    <w:basedOn w:val="Normal"/>
    <w:next w:val="Normal"/>
    <w:link w:val="Heading1Char"/>
    <w:uiPriority w:val="9"/>
    <w:qFormat/>
    <w:rsid w:val="007440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0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C5"/>
  </w:style>
  <w:style w:type="paragraph" w:styleId="Footer">
    <w:name w:val="footer"/>
    <w:basedOn w:val="Normal"/>
    <w:link w:val="FooterChar"/>
    <w:uiPriority w:val="99"/>
    <w:unhideWhenUsed/>
    <w:rsid w:val="00BC2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C5"/>
  </w:style>
  <w:style w:type="paragraph" w:styleId="ListParagraph">
    <w:name w:val="List Paragraph"/>
    <w:basedOn w:val="Normal"/>
    <w:uiPriority w:val="34"/>
    <w:qFormat/>
    <w:rsid w:val="00BC26C5"/>
    <w:pPr>
      <w:ind w:left="720"/>
      <w:contextualSpacing/>
    </w:pPr>
  </w:style>
  <w:style w:type="table" w:styleId="TableGrid">
    <w:name w:val="Table Grid"/>
    <w:basedOn w:val="TableNormal"/>
    <w:uiPriority w:val="59"/>
    <w:rsid w:val="00BC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2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6C5"/>
    <w:rPr>
      <w:sz w:val="20"/>
      <w:szCs w:val="20"/>
    </w:rPr>
  </w:style>
  <w:style w:type="character" w:styleId="FootnoteReference">
    <w:name w:val="footnote reference"/>
    <w:basedOn w:val="DefaultParagraphFont"/>
    <w:uiPriority w:val="99"/>
    <w:semiHidden/>
    <w:unhideWhenUsed/>
    <w:rsid w:val="00BC26C5"/>
    <w:rPr>
      <w:vertAlign w:val="superscript"/>
    </w:rPr>
  </w:style>
  <w:style w:type="character" w:styleId="Hyperlink">
    <w:name w:val="Hyperlink"/>
    <w:basedOn w:val="DefaultParagraphFont"/>
    <w:uiPriority w:val="99"/>
    <w:unhideWhenUsed/>
    <w:rsid w:val="00BC26C5"/>
    <w:rPr>
      <w:color w:val="0563C1" w:themeColor="hyperlink"/>
      <w:u w:val="single"/>
    </w:rPr>
  </w:style>
  <w:style w:type="character" w:customStyle="1" w:styleId="UnresolvedMention">
    <w:name w:val="Unresolved Mention"/>
    <w:basedOn w:val="DefaultParagraphFont"/>
    <w:uiPriority w:val="99"/>
    <w:semiHidden/>
    <w:unhideWhenUsed/>
    <w:rsid w:val="005F212D"/>
    <w:rPr>
      <w:color w:val="808080"/>
      <w:shd w:val="clear" w:color="auto" w:fill="E6E6E6"/>
    </w:rPr>
  </w:style>
  <w:style w:type="character" w:customStyle="1" w:styleId="Heading1Char">
    <w:name w:val="Heading 1 Char"/>
    <w:basedOn w:val="DefaultParagraphFont"/>
    <w:link w:val="Heading1"/>
    <w:uiPriority w:val="9"/>
    <w:rsid w:val="007440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40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442">
      <w:bodyDiv w:val="1"/>
      <w:marLeft w:val="0"/>
      <w:marRight w:val="0"/>
      <w:marTop w:val="0"/>
      <w:marBottom w:val="0"/>
      <w:divBdr>
        <w:top w:val="none" w:sz="0" w:space="0" w:color="auto"/>
        <w:left w:val="none" w:sz="0" w:space="0" w:color="auto"/>
        <w:bottom w:val="none" w:sz="0" w:space="0" w:color="auto"/>
        <w:right w:val="none" w:sz="0" w:space="0" w:color="auto"/>
      </w:divBdr>
    </w:div>
    <w:div w:id="223105620">
      <w:bodyDiv w:val="1"/>
      <w:marLeft w:val="0"/>
      <w:marRight w:val="0"/>
      <w:marTop w:val="0"/>
      <w:marBottom w:val="0"/>
      <w:divBdr>
        <w:top w:val="none" w:sz="0" w:space="0" w:color="auto"/>
        <w:left w:val="none" w:sz="0" w:space="0" w:color="auto"/>
        <w:bottom w:val="none" w:sz="0" w:space="0" w:color="auto"/>
        <w:right w:val="none" w:sz="0" w:space="0" w:color="auto"/>
      </w:divBdr>
    </w:div>
    <w:div w:id="1157846737">
      <w:bodyDiv w:val="1"/>
      <w:marLeft w:val="0"/>
      <w:marRight w:val="0"/>
      <w:marTop w:val="0"/>
      <w:marBottom w:val="0"/>
      <w:divBdr>
        <w:top w:val="none" w:sz="0" w:space="0" w:color="auto"/>
        <w:left w:val="none" w:sz="0" w:space="0" w:color="auto"/>
        <w:bottom w:val="none" w:sz="0" w:space="0" w:color="auto"/>
        <w:right w:val="none" w:sz="0" w:space="0" w:color="auto"/>
      </w:divBdr>
      <w:divsChild>
        <w:div w:id="1718896896">
          <w:marLeft w:val="-225"/>
          <w:marRight w:val="-225"/>
          <w:marTop w:val="0"/>
          <w:marBottom w:val="0"/>
          <w:divBdr>
            <w:top w:val="none" w:sz="0" w:space="0" w:color="auto"/>
            <w:left w:val="none" w:sz="0" w:space="0" w:color="auto"/>
            <w:bottom w:val="none" w:sz="0" w:space="0" w:color="auto"/>
            <w:right w:val="none" w:sz="0" w:space="0" w:color="auto"/>
          </w:divBdr>
          <w:divsChild>
            <w:div w:id="1927575376">
              <w:marLeft w:val="0"/>
              <w:marRight w:val="0"/>
              <w:marTop w:val="0"/>
              <w:marBottom w:val="0"/>
              <w:divBdr>
                <w:top w:val="none" w:sz="0" w:space="0" w:color="auto"/>
                <w:left w:val="none" w:sz="0" w:space="0" w:color="auto"/>
                <w:bottom w:val="none" w:sz="0" w:space="0" w:color="auto"/>
                <w:right w:val="none" w:sz="0" w:space="0" w:color="auto"/>
              </w:divBdr>
            </w:div>
            <w:div w:id="1866942024">
              <w:marLeft w:val="0"/>
              <w:marRight w:val="0"/>
              <w:marTop w:val="0"/>
              <w:marBottom w:val="0"/>
              <w:divBdr>
                <w:top w:val="none" w:sz="0" w:space="0" w:color="auto"/>
                <w:left w:val="none" w:sz="0" w:space="0" w:color="auto"/>
                <w:bottom w:val="none" w:sz="0" w:space="0" w:color="auto"/>
                <w:right w:val="none" w:sz="0" w:space="0" w:color="auto"/>
              </w:divBdr>
              <w:divsChild>
                <w:div w:id="1069765877">
                  <w:marLeft w:val="0"/>
                  <w:marRight w:val="0"/>
                  <w:marTop w:val="0"/>
                  <w:marBottom w:val="0"/>
                  <w:divBdr>
                    <w:top w:val="none" w:sz="0" w:space="0" w:color="auto"/>
                    <w:left w:val="none" w:sz="0" w:space="0" w:color="auto"/>
                    <w:bottom w:val="none" w:sz="0" w:space="0" w:color="auto"/>
                    <w:right w:val="none" w:sz="0" w:space="0" w:color="auto"/>
                  </w:divBdr>
                  <w:divsChild>
                    <w:div w:id="1128665891">
                      <w:marLeft w:val="0"/>
                      <w:marRight w:val="0"/>
                      <w:marTop w:val="0"/>
                      <w:marBottom w:val="0"/>
                      <w:divBdr>
                        <w:top w:val="single" w:sz="6" w:space="0" w:color="343A40"/>
                        <w:left w:val="single" w:sz="6" w:space="0" w:color="343A40"/>
                        <w:bottom w:val="single" w:sz="6" w:space="0" w:color="343A40"/>
                        <w:right w:val="single" w:sz="6" w:space="0" w:color="343A40"/>
                      </w:divBdr>
                      <w:divsChild>
                        <w:div w:id="1358965708">
                          <w:marLeft w:val="0"/>
                          <w:marRight w:val="0"/>
                          <w:marTop w:val="0"/>
                          <w:marBottom w:val="0"/>
                          <w:divBdr>
                            <w:top w:val="none" w:sz="0" w:space="0" w:color="auto"/>
                            <w:left w:val="none" w:sz="0" w:space="0" w:color="auto"/>
                            <w:bottom w:val="none" w:sz="0" w:space="0" w:color="auto"/>
                            <w:right w:val="none" w:sz="0" w:space="0" w:color="auto"/>
                          </w:divBdr>
                        </w:div>
                      </w:divsChild>
                    </w:div>
                    <w:div w:id="9404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046">
          <w:marLeft w:val="-225"/>
          <w:marRight w:val="-225"/>
          <w:marTop w:val="0"/>
          <w:marBottom w:val="0"/>
          <w:divBdr>
            <w:top w:val="none" w:sz="0" w:space="0" w:color="auto"/>
            <w:left w:val="none" w:sz="0" w:space="0" w:color="auto"/>
            <w:bottom w:val="none" w:sz="0" w:space="0" w:color="auto"/>
            <w:right w:val="none" w:sz="0" w:space="0" w:color="auto"/>
          </w:divBdr>
          <w:divsChild>
            <w:div w:id="811100179">
              <w:marLeft w:val="0"/>
              <w:marRight w:val="0"/>
              <w:marTop w:val="0"/>
              <w:marBottom w:val="0"/>
              <w:divBdr>
                <w:top w:val="none" w:sz="0" w:space="0" w:color="auto"/>
                <w:left w:val="none" w:sz="0" w:space="0" w:color="auto"/>
                <w:bottom w:val="none" w:sz="0" w:space="0" w:color="auto"/>
                <w:right w:val="none" w:sz="0" w:space="0" w:color="auto"/>
              </w:divBdr>
              <w:divsChild>
                <w:div w:id="1405295492">
                  <w:marLeft w:val="0"/>
                  <w:marRight w:val="0"/>
                  <w:marTop w:val="0"/>
                  <w:marBottom w:val="0"/>
                  <w:divBdr>
                    <w:top w:val="none" w:sz="0" w:space="0" w:color="auto"/>
                    <w:left w:val="none" w:sz="0" w:space="0" w:color="auto"/>
                    <w:bottom w:val="none" w:sz="0" w:space="0" w:color="auto"/>
                    <w:right w:val="none" w:sz="0" w:space="0" w:color="auto"/>
                  </w:divBdr>
                  <w:divsChild>
                    <w:div w:id="868566016">
                      <w:marLeft w:val="0"/>
                      <w:marRight w:val="0"/>
                      <w:marTop w:val="0"/>
                      <w:marBottom w:val="0"/>
                      <w:divBdr>
                        <w:top w:val="none" w:sz="0" w:space="0" w:color="auto"/>
                        <w:left w:val="none" w:sz="0" w:space="0" w:color="auto"/>
                        <w:bottom w:val="none" w:sz="0" w:space="0" w:color="auto"/>
                        <w:right w:val="none" w:sz="0" w:space="0" w:color="auto"/>
                      </w:divBdr>
                      <w:divsChild>
                        <w:div w:id="2146116195">
                          <w:marLeft w:val="0"/>
                          <w:marRight w:val="0"/>
                          <w:marTop w:val="0"/>
                          <w:marBottom w:val="0"/>
                          <w:divBdr>
                            <w:top w:val="none" w:sz="0" w:space="0" w:color="auto"/>
                            <w:left w:val="none" w:sz="0" w:space="0" w:color="auto"/>
                            <w:bottom w:val="none" w:sz="0" w:space="0" w:color="auto"/>
                            <w:right w:val="none" w:sz="0" w:space="0" w:color="auto"/>
                          </w:divBdr>
                          <w:divsChild>
                            <w:div w:id="1417362907">
                              <w:marLeft w:val="0"/>
                              <w:marRight w:val="0"/>
                              <w:marTop w:val="0"/>
                              <w:marBottom w:val="0"/>
                              <w:divBdr>
                                <w:top w:val="none" w:sz="0" w:space="0" w:color="auto"/>
                                <w:left w:val="none" w:sz="0" w:space="0" w:color="auto"/>
                                <w:bottom w:val="none" w:sz="0" w:space="0" w:color="auto"/>
                                <w:right w:val="none" w:sz="0" w:space="0" w:color="auto"/>
                              </w:divBdr>
                              <w:divsChild>
                                <w:div w:id="764958284">
                                  <w:marLeft w:val="0"/>
                                  <w:marRight w:val="0"/>
                                  <w:marTop w:val="0"/>
                                  <w:marBottom w:val="0"/>
                                  <w:divBdr>
                                    <w:top w:val="none" w:sz="0" w:space="0" w:color="auto"/>
                                    <w:left w:val="none" w:sz="0" w:space="0" w:color="auto"/>
                                    <w:bottom w:val="none" w:sz="0" w:space="0" w:color="auto"/>
                                    <w:right w:val="none" w:sz="0" w:space="0" w:color="auto"/>
                                  </w:divBdr>
                                </w:div>
                              </w:divsChild>
                            </w:div>
                            <w:div w:id="981737497">
                              <w:marLeft w:val="0"/>
                              <w:marRight w:val="0"/>
                              <w:marTop w:val="0"/>
                              <w:marBottom w:val="0"/>
                              <w:divBdr>
                                <w:top w:val="none" w:sz="0" w:space="0" w:color="auto"/>
                                <w:left w:val="none" w:sz="0" w:space="0" w:color="auto"/>
                                <w:bottom w:val="none" w:sz="0" w:space="0" w:color="auto"/>
                                <w:right w:val="none" w:sz="0" w:space="0" w:color="auto"/>
                              </w:divBdr>
                              <w:divsChild>
                                <w:div w:id="5738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1582">
                          <w:marLeft w:val="0"/>
                          <w:marRight w:val="0"/>
                          <w:marTop w:val="0"/>
                          <w:marBottom w:val="0"/>
                          <w:divBdr>
                            <w:top w:val="none" w:sz="0" w:space="0" w:color="auto"/>
                            <w:left w:val="none" w:sz="0" w:space="0" w:color="auto"/>
                            <w:bottom w:val="none" w:sz="0" w:space="0" w:color="auto"/>
                            <w:right w:val="none" w:sz="0" w:space="0" w:color="auto"/>
                          </w:divBdr>
                        </w:div>
                        <w:div w:id="1718771156">
                          <w:marLeft w:val="0"/>
                          <w:marRight w:val="0"/>
                          <w:marTop w:val="0"/>
                          <w:marBottom w:val="0"/>
                          <w:divBdr>
                            <w:top w:val="none" w:sz="0" w:space="0" w:color="auto"/>
                            <w:left w:val="none" w:sz="0" w:space="0" w:color="auto"/>
                            <w:bottom w:val="none" w:sz="0" w:space="0" w:color="auto"/>
                            <w:right w:val="none" w:sz="0" w:space="0" w:color="auto"/>
                          </w:divBdr>
                        </w:div>
                      </w:divsChild>
                    </w:div>
                    <w:div w:id="217279201">
                      <w:marLeft w:val="0"/>
                      <w:marRight w:val="0"/>
                      <w:marTop w:val="0"/>
                      <w:marBottom w:val="0"/>
                      <w:divBdr>
                        <w:top w:val="none" w:sz="0" w:space="0" w:color="auto"/>
                        <w:left w:val="none" w:sz="0" w:space="0" w:color="auto"/>
                        <w:bottom w:val="none" w:sz="0" w:space="0" w:color="auto"/>
                        <w:right w:val="none" w:sz="0" w:space="0" w:color="auto"/>
                      </w:divBdr>
                      <w:divsChild>
                        <w:div w:id="162822694">
                          <w:marLeft w:val="0"/>
                          <w:marRight w:val="0"/>
                          <w:marTop w:val="0"/>
                          <w:marBottom w:val="0"/>
                          <w:divBdr>
                            <w:top w:val="none" w:sz="0" w:space="0" w:color="auto"/>
                            <w:left w:val="none" w:sz="0" w:space="0" w:color="auto"/>
                            <w:bottom w:val="none" w:sz="0" w:space="0" w:color="auto"/>
                            <w:right w:val="none" w:sz="0" w:space="0" w:color="auto"/>
                          </w:divBdr>
                          <w:divsChild>
                            <w:div w:id="1235315876">
                              <w:marLeft w:val="150"/>
                              <w:marRight w:val="0"/>
                              <w:marTop w:val="150"/>
                              <w:marBottom w:val="0"/>
                              <w:divBdr>
                                <w:top w:val="none" w:sz="0" w:space="0" w:color="auto"/>
                                <w:left w:val="none" w:sz="0" w:space="0" w:color="auto"/>
                                <w:bottom w:val="none" w:sz="0" w:space="0" w:color="auto"/>
                                <w:right w:val="none" w:sz="0" w:space="0" w:color="auto"/>
                              </w:divBdr>
                            </w:div>
                          </w:divsChild>
                        </w:div>
                        <w:div w:id="1957523324">
                          <w:marLeft w:val="0"/>
                          <w:marRight w:val="0"/>
                          <w:marTop w:val="0"/>
                          <w:marBottom w:val="0"/>
                          <w:divBdr>
                            <w:top w:val="none" w:sz="0" w:space="0" w:color="auto"/>
                            <w:left w:val="none" w:sz="0" w:space="0" w:color="auto"/>
                            <w:bottom w:val="none" w:sz="0" w:space="0" w:color="auto"/>
                            <w:right w:val="none" w:sz="0" w:space="0" w:color="auto"/>
                          </w:divBdr>
                          <w:divsChild>
                            <w:div w:id="5813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004385">
          <w:marLeft w:val="0"/>
          <w:marRight w:val="0"/>
          <w:marTop w:val="0"/>
          <w:marBottom w:val="0"/>
          <w:divBdr>
            <w:top w:val="none" w:sz="0" w:space="0" w:color="auto"/>
            <w:left w:val="none" w:sz="0" w:space="0" w:color="auto"/>
            <w:bottom w:val="none" w:sz="0" w:space="0" w:color="auto"/>
            <w:right w:val="none" w:sz="0" w:space="0" w:color="auto"/>
          </w:divBdr>
          <w:divsChild>
            <w:div w:id="1843809965">
              <w:marLeft w:val="0"/>
              <w:marRight w:val="0"/>
              <w:marTop w:val="0"/>
              <w:marBottom w:val="0"/>
              <w:divBdr>
                <w:top w:val="none" w:sz="0" w:space="0" w:color="auto"/>
                <w:left w:val="none" w:sz="0" w:space="0" w:color="auto"/>
                <w:bottom w:val="none" w:sz="0" w:space="0" w:color="auto"/>
                <w:right w:val="none" w:sz="0" w:space="0" w:color="auto"/>
              </w:divBdr>
              <w:divsChild>
                <w:div w:id="2131393638">
                  <w:marLeft w:val="0"/>
                  <w:marRight w:val="0"/>
                  <w:marTop w:val="0"/>
                  <w:marBottom w:val="0"/>
                  <w:divBdr>
                    <w:top w:val="none" w:sz="0" w:space="0" w:color="auto"/>
                    <w:left w:val="none" w:sz="0" w:space="0" w:color="auto"/>
                    <w:bottom w:val="none" w:sz="0" w:space="0" w:color="auto"/>
                    <w:right w:val="none" w:sz="0" w:space="0" w:color="auto"/>
                  </w:divBdr>
                </w:div>
                <w:div w:id="1839806581">
                  <w:marLeft w:val="0"/>
                  <w:marRight w:val="0"/>
                  <w:marTop w:val="0"/>
                  <w:marBottom w:val="0"/>
                  <w:divBdr>
                    <w:top w:val="none" w:sz="0" w:space="0" w:color="auto"/>
                    <w:left w:val="none" w:sz="0" w:space="0" w:color="auto"/>
                    <w:bottom w:val="none" w:sz="0" w:space="0" w:color="auto"/>
                    <w:right w:val="none" w:sz="0" w:space="0" w:color="auto"/>
                  </w:divBdr>
                  <w:divsChild>
                    <w:div w:id="508449420">
                      <w:marLeft w:val="0"/>
                      <w:marRight w:val="0"/>
                      <w:marTop w:val="0"/>
                      <w:marBottom w:val="0"/>
                      <w:divBdr>
                        <w:top w:val="none" w:sz="0" w:space="0" w:color="auto"/>
                        <w:left w:val="none" w:sz="0" w:space="0" w:color="auto"/>
                        <w:bottom w:val="none" w:sz="0" w:space="0" w:color="auto"/>
                        <w:right w:val="none" w:sz="0" w:space="0" w:color="auto"/>
                      </w:divBdr>
                      <w:divsChild>
                        <w:div w:id="1344628122">
                          <w:marLeft w:val="0"/>
                          <w:marRight w:val="0"/>
                          <w:marTop w:val="0"/>
                          <w:marBottom w:val="0"/>
                          <w:divBdr>
                            <w:top w:val="none" w:sz="0" w:space="0" w:color="auto"/>
                            <w:left w:val="none" w:sz="0" w:space="0" w:color="auto"/>
                            <w:bottom w:val="none" w:sz="0" w:space="0" w:color="auto"/>
                            <w:right w:val="none" w:sz="0" w:space="0" w:color="auto"/>
                          </w:divBdr>
                          <w:divsChild>
                            <w:div w:id="3001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854984">
      <w:bodyDiv w:val="1"/>
      <w:marLeft w:val="0"/>
      <w:marRight w:val="0"/>
      <w:marTop w:val="0"/>
      <w:marBottom w:val="0"/>
      <w:divBdr>
        <w:top w:val="none" w:sz="0" w:space="0" w:color="auto"/>
        <w:left w:val="none" w:sz="0" w:space="0" w:color="auto"/>
        <w:bottom w:val="none" w:sz="0" w:space="0" w:color="auto"/>
        <w:right w:val="none" w:sz="0" w:space="0" w:color="auto"/>
      </w:divBdr>
    </w:div>
    <w:div w:id="16951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dc.gov.uk/downloads/file/1493/statement-of-intent-for-eco-flexible-elig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lichfielddc.gov.u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ice.org.uk/guidance/ng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93972/sustainable-warmth-competition-guidance.pdf" TargetMode="External"/><Relationship Id="rId2" Type="http://schemas.openxmlformats.org/officeDocument/2006/relationships/hyperlink" Target="https://www.gov.uk/government/publications/energy-company-obligation-eco-help-to-heat-scheme-flexible-eligibility" TargetMode="External"/><Relationship Id="rId1" Type="http://schemas.openxmlformats.org/officeDocument/2006/relationships/hyperlink" Target="https://epc.opendatacommunities.org/" TargetMode="External"/><Relationship Id="rId5" Type="http://schemas.openxmlformats.org/officeDocument/2006/relationships/hyperlink" Target="https://epc.opendatacommunities.org/" TargetMode="External"/><Relationship Id="rId4" Type="http://schemas.openxmlformats.org/officeDocument/2006/relationships/hyperlink" Target="http://dclgapps.communities.gov.uk/imd/iod_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5CF9-A9E4-4AA7-B92D-E437DEFB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Lucy Robinson</Manager>
  <Company>Lichfield District Council</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Boulton-Leese</dc:creator>
  <cp:keywords/>
  <dc:description/>
  <cp:lastModifiedBy>Boulton-Leese, Matthew</cp:lastModifiedBy>
  <cp:revision>3</cp:revision>
  <cp:lastPrinted>2019-02-21T11:52:00Z</cp:lastPrinted>
  <dcterms:created xsi:type="dcterms:W3CDTF">2021-10-01T14:37:00Z</dcterms:created>
  <dcterms:modified xsi:type="dcterms:W3CDTF">2021-12-02T10:38:00Z</dcterms:modified>
  <dc:language>English</dc:language>
</cp:coreProperties>
</file>