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647" w:rsidRPr="002C3647" w:rsidRDefault="002C3647" w:rsidP="002C3647">
      <w:pPr>
        <w:pStyle w:val="Heading1"/>
        <w:rPr>
          <w:b/>
        </w:rPr>
      </w:pPr>
      <w:r w:rsidRPr="002C3647">
        <w:rPr>
          <w:b/>
        </w:rPr>
        <w:t>Summary of proposed amendments</w:t>
      </w:r>
    </w:p>
    <w:p w:rsidR="002C3647" w:rsidRDefault="002C3647"/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11760"/>
      </w:tblGrid>
      <w:tr w:rsidR="002C3647" w:rsidRPr="002C3647" w:rsidTr="002C3647">
        <w:trPr>
          <w:trHeight w:val="322"/>
        </w:trPr>
        <w:tc>
          <w:tcPr>
            <w:tcW w:w="2841" w:type="dxa"/>
            <w:shd w:val="clear" w:color="auto" w:fill="auto"/>
          </w:tcPr>
          <w:p w:rsidR="002C3647" w:rsidRPr="002C3647" w:rsidRDefault="002C3647" w:rsidP="009A597D">
            <w:pPr>
              <w:rPr>
                <w:rFonts w:ascii="Calibri" w:eastAsia="Calibri" w:hAnsi="Calibri"/>
                <w:b/>
                <w:color w:val="auto"/>
                <w:sz w:val="22"/>
                <w:szCs w:val="22"/>
              </w:rPr>
            </w:pPr>
            <w:r w:rsidRPr="002C3647">
              <w:rPr>
                <w:rFonts w:ascii="Calibri" w:eastAsia="Calibri" w:hAnsi="Calibri"/>
                <w:b/>
                <w:color w:val="auto"/>
                <w:sz w:val="22"/>
                <w:szCs w:val="22"/>
              </w:rPr>
              <w:t>Section</w:t>
            </w:r>
          </w:p>
        </w:tc>
        <w:tc>
          <w:tcPr>
            <w:tcW w:w="11760" w:type="dxa"/>
            <w:shd w:val="clear" w:color="auto" w:fill="auto"/>
          </w:tcPr>
          <w:p w:rsidR="002C3647" w:rsidRPr="002C3647" w:rsidRDefault="002C3647" w:rsidP="009A597D">
            <w:pPr>
              <w:rPr>
                <w:rFonts w:ascii="Calibri" w:eastAsia="Calibri" w:hAnsi="Calibri"/>
                <w:b/>
                <w:color w:val="auto"/>
                <w:sz w:val="22"/>
                <w:szCs w:val="22"/>
              </w:rPr>
            </w:pPr>
            <w:r w:rsidRPr="002C3647">
              <w:rPr>
                <w:rFonts w:ascii="Calibri" w:eastAsia="Calibri" w:hAnsi="Calibri"/>
                <w:b/>
                <w:color w:val="auto"/>
                <w:sz w:val="22"/>
                <w:szCs w:val="22"/>
              </w:rPr>
              <w:t>Reason for amendment</w:t>
            </w:r>
          </w:p>
        </w:tc>
      </w:tr>
      <w:tr w:rsidR="002C3647" w:rsidRPr="007648B0" w:rsidTr="002C3647">
        <w:trPr>
          <w:trHeight w:val="322"/>
        </w:trPr>
        <w:tc>
          <w:tcPr>
            <w:tcW w:w="2841" w:type="dxa"/>
            <w:shd w:val="clear" w:color="auto" w:fill="auto"/>
          </w:tcPr>
          <w:p w:rsidR="002C3647" w:rsidRPr="007648B0" w:rsidRDefault="002C3647" w:rsidP="009A597D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2 – What is Street Trading</w:t>
            </w:r>
          </w:p>
        </w:tc>
        <w:tc>
          <w:tcPr>
            <w:tcW w:w="11760" w:type="dxa"/>
            <w:shd w:val="clear" w:color="auto" w:fill="auto"/>
          </w:tcPr>
          <w:p w:rsidR="002C3647" w:rsidRPr="007648B0" w:rsidRDefault="002C3647" w:rsidP="009A597D">
            <w:pPr>
              <w:spacing w:after="60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7648B0">
              <w:rPr>
                <w:rFonts w:ascii="Calibri" w:eastAsia="Calibri" w:hAnsi="Calibri"/>
                <w:color w:val="auto"/>
                <w:sz w:val="22"/>
                <w:szCs w:val="22"/>
              </w:rPr>
              <w:t>Public Access without Payment</w:t>
            </w:r>
          </w:p>
          <w:p w:rsidR="002C3647" w:rsidRPr="007648B0" w:rsidRDefault="002C3647" w:rsidP="009A597D">
            <w:pPr>
              <w:spacing w:after="100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7648B0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In light of recent challenges, this section provides clarity about the legal position with respect to what constitutes ‘public access without payment’. </w:t>
            </w:r>
            <w:bookmarkStart w:id="0" w:name="_GoBack"/>
            <w:bookmarkEnd w:id="0"/>
          </w:p>
        </w:tc>
      </w:tr>
      <w:tr w:rsidR="002C3647" w:rsidRPr="007648B0" w:rsidTr="002C3647">
        <w:trPr>
          <w:trHeight w:val="322"/>
        </w:trPr>
        <w:tc>
          <w:tcPr>
            <w:tcW w:w="2841" w:type="dxa"/>
            <w:shd w:val="clear" w:color="auto" w:fill="auto"/>
          </w:tcPr>
          <w:p w:rsidR="002C3647" w:rsidRPr="007648B0" w:rsidRDefault="002C3647" w:rsidP="009A597D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7 - Types</w:t>
            </w:r>
            <w:r w:rsidRPr="007648B0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 of Consents</w:t>
            </w:r>
          </w:p>
        </w:tc>
        <w:tc>
          <w:tcPr>
            <w:tcW w:w="11760" w:type="dxa"/>
            <w:shd w:val="clear" w:color="auto" w:fill="auto"/>
          </w:tcPr>
          <w:p w:rsidR="002C3647" w:rsidRPr="007648B0" w:rsidRDefault="002C3647" w:rsidP="009A597D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7648B0">
              <w:rPr>
                <w:rFonts w:ascii="Calibri" w:eastAsia="Calibri" w:hAnsi="Calibri"/>
                <w:color w:val="auto"/>
                <w:sz w:val="22"/>
                <w:szCs w:val="22"/>
              </w:rPr>
              <w:t>The draft policy proposes changing the duration of issued consents from expiring on 31 March, to expiring 3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64</w:t>
            </w:r>
            <w:r w:rsidRPr="007648B0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 days after the date of issue.</w:t>
            </w:r>
          </w:p>
          <w:p w:rsidR="002C3647" w:rsidRPr="007648B0" w:rsidRDefault="002C3647" w:rsidP="009A597D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  <w:p w:rsidR="002C3647" w:rsidRPr="007648B0" w:rsidRDefault="002C3647" w:rsidP="009A597D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7648B0">
              <w:rPr>
                <w:rFonts w:ascii="Calibri" w:eastAsia="Calibri" w:hAnsi="Calibri"/>
                <w:color w:val="auto"/>
                <w:sz w:val="22"/>
                <w:szCs w:val="22"/>
              </w:rPr>
              <w:t>The issue of 12-month consents is beneficial to the applicant, who is then able to plan their business activities knowing their authorisation to trade is valid for a full year.</w:t>
            </w:r>
          </w:p>
          <w:p w:rsidR="002C3647" w:rsidRPr="007648B0" w:rsidRDefault="002C3647" w:rsidP="009A597D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  <w:p w:rsidR="002C3647" w:rsidRPr="007648B0" w:rsidRDefault="002C3647" w:rsidP="009A597D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7648B0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The benefit to the Council is that it avoids the administrative burden of all 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annual </w:t>
            </w:r>
            <w:r w:rsidRPr="007648B0">
              <w:rPr>
                <w:rFonts w:ascii="Calibri" w:eastAsia="Calibri" w:hAnsi="Calibri"/>
                <w:color w:val="auto"/>
                <w:sz w:val="22"/>
                <w:szCs w:val="22"/>
              </w:rPr>
              <w:t>consents, no matter when they were applied for or granted, expiring on the same day each year.</w:t>
            </w:r>
          </w:p>
          <w:p w:rsidR="002C3647" w:rsidRPr="007648B0" w:rsidRDefault="002C3647" w:rsidP="009A597D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</w:tr>
      <w:tr w:rsidR="002C3647" w:rsidRPr="007648B0" w:rsidTr="002C3647">
        <w:trPr>
          <w:trHeight w:val="322"/>
        </w:trPr>
        <w:tc>
          <w:tcPr>
            <w:tcW w:w="2841" w:type="dxa"/>
            <w:shd w:val="clear" w:color="auto" w:fill="auto"/>
          </w:tcPr>
          <w:p w:rsidR="002C3647" w:rsidRPr="007648B0" w:rsidRDefault="002C3647" w:rsidP="009A597D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6.2.9 Goods offered for sale</w:t>
            </w:r>
          </w:p>
        </w:tc>
        <w:tc>
          <w:tcPr>
            <w:tcW w:w="11760" w:type="dxa"/>
            <w:shd w:val="clear" w:color="auto" w:fill="auto"/>
          </w:tcPr>
          <w:p w:rsidR="002C3647" w:rsidRPr="007648B0" w:rsidRDefault="002C3647" w:rsidP="009A597D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Specific criteria for judging when consent won’t normally be granted to prevent unfair competition with fixed premises traders.</w:t>
            </w:r>
          </w:p>
        </w:tc>
      </w:tr>
      <w:tr w:rsidR="002C3647" w:rsidRPr="007648B0" w:rsidTr="002C3647">
        <w:trPr>
          <w:trHeight w:val="322"/>
        </w:trPr>
        <w:tc>
          <w:tcPr>
            <w:tcW w:w="2841" w:type="dxa"/>
            <w:shd w:val="clear" w:color="auto" w:fill="auto"/>
          </w:tcPr>
          <w:p w:rsidR="002C3647" w:rsidRPr="007648B0" w:rsidRDefault="002C3647" w:rsidP="009A597D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6 - Determining </w:t>
            </w:r>
            <w:r w:rsidRPr="007648B0">
              <w:rPr>
                <w:rFonts w:ascii="Calibri" w:eastAsia="Calibri" w:hAnsi="Calibri"/>
                <w:color w:val="auto"/>
                <w:sz w:val="22"/>
                <w:szCs w:val="22"/>
              </w:rPr>
              <w:t>Application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s </w:t>
            </w:r>
          </w:p>
        </w:tc>
        <w:tc>
          <w:tcPr>
            <w:tcW w:w="11760" w:type="dxa"/>
            <w:shd w:val="clear" w:color="auto" w:fill="auto"/>
          </w:tcPr>
          <w:p w:rsidR="002C3647" w:rsidRPr="007648B0" w:rsidRDefault="002C3647" w:rsidP="009A597D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7648B0">
              <w:rPr>
                <w:rFonts w:ascii="Calibri" w:eastAsia="Calibri" w:hAnsi="Calibri"/>
                <w:color w:val="auto"/>
                <w:sz w:val="22"/>
                <w:szCs w:val="22"/>
              </w:rPr>
              <w:t>Consultation</w:t>
            </w:r>
          </w:p>
          <w:p w:rsidR="002C3647" w:rsidRPr="007648B0" w:rsidRDefault="002C3647" w:rsidP="009A597D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7648B0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The existing consultation process has been reviewed and developed to focus on prevention rather than enforcement. </w:t>
            </w:r>
          </w:p>
          <w:p w:rsidR="002C3647" w:rsidRPr="007648B0" w:rsidRDefault="002C3647" w:rsidP="009A597D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  <w:p w:rsidR="002C3647" w:rsidRPr="007648B0" w:rsidRDefault="002C3647" w:rsidP="009A597D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Where</w:t>
            </w:r>
            <w:r w:rsidRPr="007648B0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 traders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 on a</w:t>
            </w:r>
            <w:r w:rsidRPr="007648B0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 regular basis 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wish to trade </w:t>
            </w:r>
            <w:r w:rsidRPr="007648B0">
              <w:rPr>
                <w:rFonts w:ascii="Calibri" w:eastAsia="Calibri" w:hAnsi="Calibri"/>
                <w:color w:val="auto"/>
                <w:sz w:val="22"/>
                <w:szCs w:val="22"/>
              </w:rPr>
              <w:t>from locations within the district and where tradin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g is not associated with an</w:t>
            </w:r>
            <w:r w:rsidRPr="007648B0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 event all applications, will be subject to a full consultation with all relevant authorities, agencies and interested parties. </w:t>
            </w:r>
          </w:p>
          <w:p w:rsidR="002C3647" w:rsidRPr="007648B0" w:rsidRDefault="002C3647" w:rsidP="009A597D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  <w:p w:rsidR="002C3647" w:rsidRPr="007648B0" w:rsidRDefault="002C3647" w:rsidP="009A597D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7648B0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This amendment ensures 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consistency (this was previously done on officer discretion) and allows the implications of trading from that location to be raised by interested parties.</w:t>
            </w:r>
          </w:p>
          <w:p w:rsidR="002C3647" w:rsidRPr="007648B0" w:rsidRDefault="002C3647" w:rsidP="009A597D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  <w:p w:rsidR="002C3647" w:rsidRPr="007648B0" w:rsidRDefault="002C3647" w:rsidP="009A597D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7648B0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In the event that the consultation received 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valid </w:t>
            </w:r>
            <w:r w:rsidRPr="007648B0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objections, the consent 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w</w:t>
            </w:r>
            <w:r w:rsidRPr="007648B0">
              <w:rPr>
                <w:rFonts w:ascii="Calibri" w:eastAsia="Calibri" w:hAnsi="Calibri"/>
                <w:color w:val="auto"/>
                <w:sz w:val="22"/>
                <w:szCs w:val="22"/>
              </w:rPr>
              <w:t>ould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 usually</w:t>
            </w:r>
            <w:r w:rsidRPr="007648B0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 be revoked or, if trading had already taken place, future consents 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w</w:t>
            </w:r>
            <w:r w:rsidRPr="007648B0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ould 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usually </w:t>
            </w:r>
            <w:r w:rsidRPr="007648B0">
              <w:rPr>
                <w:rFonts w:ascii="Calibri" w:eastAsia="Calibri" w:hAnsi="Calibri"/>
                <w:color w:val="auto"/>
                <w:sz w:val="22"/>
                <w:szCs w:val="22"/>
              </w:rPr>
              <w:t>be refused.</w:t>
            </w:r>
          </w:p>
          <w:p w:rsidR="002C3647" w:rsidRPr="007648B0" w:rsidRDefault="002C3647" w:rsidP="009A597D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</w:tr>
      <w:tr w:rsidR="002C3647" w:rsidRPr="007648B0" w:rsidTr="002C3647">
        <w:trPr>
          <w:trHeight w:val="322"/>
        </w:trPr>
        <w:tc>
          <w:tcPr>
            <w:tcW w:w="2841" w:type="dxa"/>
            <w:shd w:val="clear" w:color="auto" w:fill="auto"/>
          </w:tcPr>
          <w:p w:rsidR="002C3647" w:rsidRPr="007648B0" w:rsidRDefault="002C3647" w:rsidP="009A597D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7 - Mobile Street Trading</w:t>
            </w:r>
          </w:p>
        </w:tc>
        <w:tc>
          <w:tcPr>
            <w:tcW w:w="11760" w:type="dxa"/>
            <w:shd w:val="clear" w:color="auto" w:fill="auto"/>
          </w:tcPr>
          <w:p w:rsidR="002C3647" w:rsidRPr="007648B0" w:rsidRDefault="002C3647" w:rsidP="009A597D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Prevent mobile traders competing unfairly with fixed premises in town centres. </w:t>
            </w:r>
          </w:p>
        </w:tc>
      </w:tr>
      <w:tr w:rsidR="002C3647" w:rsidRPr="007648B0" w:rsidTr="002C3647">
        <w:trPr>
          <w:trHeight w:val="322"/>
        </w:trPr>
        <w:tc>
          <w:tcPr>
            <w:tcW w:w="2841" w:type="dxa"/>
            <w:shd w:val="clear" w:color="auto" w:fill="auto"/>
          </w:tcPr>
          <w:p w:rsidR="002C3647" w:rsidRPr="007648B0" w:rsidRDefault="002C3647" w:rsidP="009A597D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lastRenderedPageBreak/>
              <w:t>7 - Seasonal and multi-site consents</w:t>
            </w:r>
          </w:p>
        </w:tc>
        <w:tc>
          <w:tcPr>
            <w:tcW w:w="11760" w:type="dxa"/>
            <w:shd w:val="clear" w:color="auto" w:fill="auto"/>
          </w:tcPr>
          <w:p w:rsidR="002C3647" w:rsidRPr="007648B0" w:rsidRDefault="002C3647" w:rsidP="009A597D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To provide a more flexible system for a diverse trading patterns and ensuring that appropriate fee levels can be charged</w:t>
            </w:r>
          </w:p>
        </w:tc>
      </w:tr>
      <w:tr w:rsidR="002C3647" w:rsidRPr="007648B0" w:rsidTr="002C3647">
        <w:trPr>
          <w:trHeight w:val="322"/>
        </w:trPr>
        <w:tc>
          <w:tcPr>
            <w:tcW w:w="2841" w:type="dxa"/>
            <w:shd w:val="clear" w:color="auto" w:fill="auto"/>
          </w:tcPr>
          <w:p w:rsidR="002C3647" w:rsidRPr="007648B0" w:rsidRDefault="002C3647" w:rsidP="009A597D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3 – Local exemptions</w:t>
            </w:r>
          </w:p>
        </w:tc>
        <w:tc>
          <w:tcPr>
            <w:tcW w:w="11760" w:type="dxa"/>
            <w:shd w:val="clear" w:color="auto" w:fill="auto"/>
          </w:tcPr>
          <w:p w:rsidR="002C3647" w:rsidRPr="007648B0" w:rsidRDefault="002C3647" w:rsidP="009A597D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Farm/residential gate sales - It is not deemed proportionate to require this micro level of low risk trading to be consented </w:t>
            </w:r>
          </w:p>
        </w:tc>
      </w:tr>
      <w:tr w:rsidR="002C3647" w:rsidTr="002C3647">
        <w:trPr>
          <w:trHeight w:val="322"/>
        </w:trPr>
        <w:tc>
          <w:tcPr>
            <w:tcW w:w="2841" w:type="dxa"/>
            <w:shd w:val="clear" w:color="auto" w:fill="auto"/>
          </w:tcPr>
          <w:p w:rsidR="002C3647" w:rsidRDefault="002C3647" w:rsidP="009A597D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3 – Local exemptions</w:t>
            </w:r>
          </w:p>
        </w:tc>
        <w:tc>
          <w:tcPr>
            <w:tcW w:w="11760" w:type="dxa"/>
            <w:shd w:val="clear" w:color="auto" w:fill="auto"/>
          </w:tcPr>
          <w:p w:rsidR="002C3647" w:rsidRDefault="002C3647" w:rsidP="009A597D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Community events such as school fetes to be exempted</w:t>
            </w:r>
          </w:p>
        </w:tc>
      </w:tr>
      <w:tr w:rsidR="002C3647" w:rsidRPr="007648B0" w:rsidTr="002C3647">
        <w:trPr>
          <w:trHeight w:val="322"/>
        </w:trPr>
        <w:tc>
          <w:tcPr>
            <w:tcW w:w="2841" w:type="dxa"/>
            <w:shd w:val="clear" w:color="auto" w:fill="auto"/>
          </w:tcPr>
          <w:p w:rsidR="002C3647" w:rsidRPr="007648B0" w:rsidRDefault="002C3647" w:rsidP="009A597D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15 - Disclosure and Barring Service</w:t>
            </w:r>
          </w:p>
        </w:tc>
        <w:tc>
          <w:tcPr>
            <w:tcW w:w="11760" w:type="dxa"/>
            <w:shd w:val="clear" w:color="auto" w:fill="auto"/>
          </w:tcPr>
          <w:p w:rsidR="002C3647" w:rsidRPr="007648B0" w:rsidRDefault="002C3647" w:rsidP="009A597D">
            <w:pPr>
              <w:spacing w:after="80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Clarity provided in the circumstances when criminal record checks and declarations and disclosures are required. This is designed to ensure consistent and proportionate standards.</w:t>
            </w:r>
          </w:p>
        </w:tc>
      </w:tr>
      <w:tr w:rsidR="002C3647" w:rsidRPr="007648B0" w:rsidTr="002C3647">
        <w:trPr>
          <w:trHeight w:val="322"/>
        </w:trPr>
        <w:tc>
          <w:tcPr>
            <w:tcW w:w="2841" w:type="dxa"/>
            <w:shd w:val="clear" w:color="auto" w:fill="auto"/>
          </w:tcPr>
          <w:p w:rsidR="002C3647" w:rsidRPr="007648B0" w:rsidRDefault="002C3647" w:rsidP="009A597D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Appendix -</w:t>
            </w:r>
            <w:r w:rsidRPr="007648B0">
              <w:rPr>
                <w:rFonts w:ascii="Calibri" w:eastAsia="Calibri" w:hAnsi="Calibri"/>
                <w:color w:val="auto"/>
                <w:sz w:val="22"/>
                <w:szCs w:val="22"/>
              </w:rPr>
              <w:t>Standard Conditions</w:t>
            </w:r>
          </w:p>
        </w:tc>
        <w:tc>
          <w:tcPr>
            <w:tcW w:w="11760" w:type="dxa"/>
            <w:shd w:val="clear" w:color="auto" w:fill="auto"/>
          </w:tcPr>
          <w:p w:rsidR="002C3647" w:rsidRPr="007648B0" w:rsidRDefault="002C3647" w:rsidP="009A597D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7648B0">
              <w:rPr>
                <w:rFonts w:ascii="Calibri" w:eastAsia="Calibri" w:hAnsi="Calibri"/>
                <w:color w:val="auto"/>
                <w:sz w:val="22"/>
                <w:szCs w:val="22"/>
              </w:rPr>
              <w:t>Revised standard conditions are attached at Appendix A.</w:t>
            </w:r>
          </w:p>
          <w:p w:rsidR="002C3647" w:rsidRPr="007648B0" w:rsidRDefault="002C3647" w:rsidP="009A597D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  <w:p w:rsidR="002C3647" w:rsidRPr="007648B0" w:rsidRDefault="002C3647" w:rsidP="009A597D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7648B0">
              <w:rPr>
                <w:rFonts w:ascii="Calibri" w:eastAsia="Calibri" w:hAnsi="Calibri"/>
                <w:color w:val="auto"/>
                <w:sz w:val="22"/>
                <w:szCs w:val="22"/>
              </w:rPr>
              <w:t>The investigation and resolution of complaints and taking formal enforcement action are both costly and time-consuming functions of the Licensing Authority.</w:t>
            </w:r>
          </w:p>
          <w:p w:rsidR="002C3647" w:rsidRPr="007648B0" w:rsidRDefault="002C3647" w:rsidP="009A597D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  <w:p w:rsidR="002C3647" w:rsidRPr="007648B0" w:rsidRDefault="002C3647" w:rsidP="009A597D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7648B0">
              <w:rPr>
                <w:rFonts w:ascii="Calibri" w:eastAsia="Calibri" w:hAnsi="Calibri"/>
                <w:color w:val="auto"/>
                <w:sz w:val="22"/>
                <w:szCs w:val="22"/>
              </w:rPr>
              <w:t>Standard Conditions of operation are designed to be a preventative enforcement mechanism, whereby operation in compliance with conditions should reduce the likelihood of complaints and the subsequent need for investigation and enforcement action.</w:t>
            </w:r>
          </w:p>
          <w:p w:rsidR="002C3647" w:rsidRPr="007648B0" w:rsidRDefault="002C3647" w:rsidP="009A597D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  <w:p w:rsidR="002C3647" w:rsidRPr="007648B0" w:rsidRDefault="002C3647" w:rsidP="009A597D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7648B0">
              <w:rPr>
                <w:rFonts w:ascii="Calibri" w:eastAsia="Calibri" w:hAnsi="Calibri"/>
                <w:color w:val="auto"/>
                <w:sz w:val="22"/>
                <w:szCs w:val="22"/>
              </w:rPr>
              <w:t>The Act provides no right of appeal where a consent is revoked, which means clear, robust and specific conditions are an important mechanism for providing a framework of operation within which a consent holder can take confidence in how they operate and grow their business.</w:t>
            </w:r>
          </w:p>
          <w:p w:rsidR="002C3647" w:rsidRPr="007648B0" w:rsidRDefault="002C3647" w:rsidP="009A597D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</w:tr>
    </w:tbl>
    <w:p w:rsidR="005F54AB" w:rsidRDefault="002C3647"/>
    <w:sectPr w:rsidR="005F54AB" w:rsidSect="002C36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47"/>
    <w:rsid w:val="000F5595"/>
    <w:rsid w:val="002C3647"/>
    <w:rsid w:val="00E1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65AF0-BE13-4CA9-BC10-4A3C32FC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36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6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Lichfield District Council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Roberts</dc:creator>
  <cp:keywords/>
  <dc:description/>
  <cp:lastModifiedBy>Zoe Roberts</cp:lastModifiedBy>
  <cp:revision>1</cp:revision>
  <dcterms:created xsi:type="dcterms:W3CDTF">2022-05-12T14:32:00Z</dcterms:created>
  <dcterms:modified xsi:type="dcterms:W3CDTF">2022-05-12T14:34:00Z</dcterms:modified>
</cp:coreProperties>
</file>