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589F" w14:textId="38F78FA6" w:rsidR="00710E77" w:rsidRDefault="00034482" w:rsidP="00710E77">
      <w:pPr>
        <w:pStyle w:val="Heading1"/>
        <w:spacing w:before="0"/>
        <w:rPr>
          <w:rFonts w:asciiTheme="minorHAnsi" w:hAnsiTheme="minorHAnsi" w:cstheme="minorHAnsi"/>
          <w:b/>
          <w:bCs/>
          <w:color w:val="auto"/>
          <w:lang w:eastAsia="en-US"/>
        </w:rPr>
      </w:pPr>
      <w:r w:rsidRPr="00034482">
        <w:rPr>
          <w:noProof/>
        </w:rPr>
        <w:drawing>
          <wp:anchor distT="0" distB="0" distL="114300" distR="114300" simplePos="0" relativeHeight="251658240" behindDoc="0" locked="0" layoutInCell="1" allowOverlap="1" wp14:anchorId="4650555B" wp14:editId="261A155E">
            <wp:simplePos x="0" y="0"/>
            <wp:positionH relativeFrom="margin">
              <wp:posOffset>2971165</wp:posOffset>
            </wp:positionH>
            <wp:positionV relativeFrom="margin">
              <wp:posOffset>-885825</wp:posOffset>
            </wp:positionV>
            <wp:extent cx="2987675" cy="160210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7675" cy="160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1E6" w:rsidRPr="00710E77">
        <w:rPr>
          <w:rFonts w:asciiTheme="minorHAnsi" w:hAnsiTheme="minorHAnsi" w:cstheme="minorHAnsi"/>
          <w:b/>
          <w:bCs/>
          <w:color w:val="auto"/>
          <w:lang w:eastAsia="en-US"/>
        </w:rPr>
        <w:t>BREEDING DOGS</w:t>
      </w:r>
      <w:r w:rsidR="00710E77">
        <w:rPr>
          <w:rFonts w:asciiTheme="minorHAnsi" w:hAnsiTheme="minorHAnsi" w:cstheme="minorHAnsi"/>
          <w:b/>
          <w:bCs/>
          <w:color w:val="auto"/>
          <w:lang w:eastAsia="en-US"/>
        </w:rPr>
        <w:t xml:space="preserve"> </w:t>
      </w:r>
    </w:p>
    <w:p w14:paraId="76B63E8B" w14:textId="586CE7CD" w:rsidR="00710E77" w:rsidRPr="00034482" w:rsidRDefault="00710E77" w:rsidP="00034482">
      <w:pPr>
        <w:pStyle w:val="NormalWeb"/>
      </w:pPr>
      <w:r>
        <w:rPr>
          <w:rFonts w:asciiTheme="minorHAnsi" w:hAnsiTheme="minorHAnsi" w:cstheme="minorHAnsi"/>
          <w:b/>
          <w:bCs/>
          <w:lang w:eastAsia="en-US"/>
        </w:rPr>
        <w:t>P</w:t>
      </w:r>
      <w:r w:rsidR="009450A0" w:rsidRPr="00710E77">
        <w:rPr>
          <w:rFonts w:asciiTheme="minorHAnsi" w:hAnsiTheme="minorHAnsi" w:cstheme="minorHAnsi"/>
          <w:b/>
          <w:bCs/>
          <w:lang w:eastAsia="en-US"/>
        </w:rPr>
        <w:t>APERWORK REQUIREMENTS</w:t>
      </w:r>
    </w:p>
    <w:p w14:paraId="672423C6" w14:textId="28592391" w:rsidR="009450A0" w:rsidRPr="009450A0" w:rsidRDefault="009450A0" w:rsidP="009450A0">
      <w:pPr>
        <w:rPr>
          <w:rFonts w:ascii="Calibri" w:hAnsi="Calibri"/>
          <w:color w:val="000000"/>
          <w:sz w:val="22"/>
          <w:szCs w:val="22"/>
          <w:lang w:eastAsia="en-US"/>
        </w:rPr>
      </w:pPr>
      <w:r>
        <w:rPr>
          <w:rFonts w:ascii="Calibri" w:hAnsi="Calibri"/>
          <w:color w:val="000000"/>
          <w:sz w:val="22"/>
          <w:szCs w:val="22"/>
          <w:lang w:eastAsia="en-US"/>
        </w:rPr>
        <w:t>Please not</w:t>
      </w:r>
      <w:r w:rsidR="00710E77">
        <w:rPr>
          <w:rFonts w:ascii="Calibri" w:hAnsi="Calibri"/>
          <w:color w:val="000000"/>
          <w:sz w:val="22"/>
          <w:szCs w:val="22"/>
          <w:lang w:eastAsia="en-US"/>
        </w:rPr>
        <w:t>e</w:t>
      </w:r>
      <w:r>
        <w:rPr>
          <w:rFonts w:ascii="Calibri" w:hAnsi="Calibri"/>
          <w:color w:val="000000"/>
          <w:sz w:val="22"/>
          <w:szCs w:val="22"/>
          <w:lang w:eastAsia="en-US"/>
        </w:rPr>
        <w:t xml:space="preserve"> that this document has been created to help you ensure that you submit </w:t>
      </w:r>
      <w:proofErr w:type="gramStart"/>
      <w:r>
        <w:rPr>
          <w:rFonts w:ascii="Calibri" w:hAnsi="Calibri"/>
          <w:color w:val="000000"/>
          <w:sz w:val="22"/>
          <w:szCs w:val="22"/>
          <w:lang w:eastAsia="en-US"/>
        </w:rPr>
        <w:t>all of</w:t>
      </w:r>
      <w:proofErr w:type="gramEnd"/>
      <w:r>
        <w:rPr>
          <w:rFonts w:ascii="Calibri" w:hAnsi="Calibri"/>
          <w:color w:val="000000"/>
          <w:sz w:val="22"/>
          <w:szCs w:val="22"/>
          <w:lang w:eastAsia="en-US"/>
        </w:rPr>
        <w:t xml:space="preserve"> the relevant documents to the Local Authority before your inspection is completed. The guidance is available </w:t>
      </w:r>
      <w:hyperlink r:id="rId6" w:history="1">
        <w:r w:rsidRPr="00D40E7E">
          <w:rPr>
            <w:rStyle w:val="Hyperlink"/>
            <w:rFonts w:ascii="Calibri" w:hAnsi="Calibri"/>
            <w:sz w:val="22"/>
            <w:szCs w:val="22"/>
            <w:lang w:eastAsia="en-US"/>
          </w:rPr>
          <w:t>her</w:t>
        </w:r>
        <w:r w:rsidR="00710E77" w:rsidRPr="00D40E7E">
          <w:rPr>
            <w:rStyle w:val="Hyperlink"/>
            <w:rFonts w:ascii="Calibri" w:hAnsi="Calibri"/>
            <w:sz w:val="22"/>
            <w:szCs w:val="22"/>
            <w:lang w:eastAsia="en-US"/>
          </w:rPr>
          <w:t>e</w:t>
        </w:r>
      </w:hyperlink>
      <w:r w:rsidR="00710E77">
        <w:rPr>
          <w:rFonts w:ascii="Calibri" w:hAnsi="Calibri"/>
          <w:color w:val="000000"/>
          <w:sz w:val="22"/>
          <w:szCs w:val="22"/>
          <w:lang w:eastAsia="en-US"/>
        </w:rPr>
        <w:t xml:space="preserve">. </w:t>
      </w:r>
    </w:p>
    <w:p w14:paraId="1DCEEFD9" w14:textId="77777777" w:rsidR="009450A0" w:rsidRDefault="009450A0"/>
    <w:p w14:paraId="26D428E8" w14:textId="39211664" w:rsidR="000B21E6" w:rsidRPr="000B21E6" w:rsidRDefault="000B21E6">
      <w:pPr>
        <w:rPr>
          <w:rFonts w:asciiTheme="minorHAnsi" w:hAnsiTheme="minorHAnsi"/>
        </w:rPr>
      </w:pPr>
      <w:r>
        <w:rPr>
          <w:rFonts w:asciiTheme="minorHAnsi" w:hAnsiTheme="minorHAnsi"/>
        </w:rPr>
        <w:t xml:space="preserve">There are requirements set out it the guidance in relation to the records that need to be kept. These records will be scrutinised during the inspection. </w:t>
      </w:r>
      <w:r w:rsidR="00710E77">
        <w:rPr>
          <w:rFonts w:asciiTheme="minorHAnsi" w:hAnsiTheme="minorHAnsi"/>
        </w:rPr>
        <w:t>At the inspection visit</w:t>
      </w:r>
      <w:r>
        <w:rPr>
          <w:rFonts w:asciiTheme="minorHAnsi" w:hAnsiTheme="minorHAnsi"/>
        </w:rPr>
        <w:t xml:space="preserve"> </w:t>
      </w:r>
      <w:r w:rsidR="00710E77">
        <w:rPr>
          <w:rFonts w:asciiTheme="minorHAnsi" w:hAnsiTheme="minorHAnsi"/>
        </w:rPr>
        <w:t>we</w:t>
      </w:r>
      <w:r>
        <w:rPr>
          <w:rFonts w:asciiTheme="minorHAnsi" w:hAnsiTheme="minorHAnsi"/>
        </w:rPr>
        <w:t xml:space="preserve"> will expect to see how these records are going to be kept </w:t>
      </w:r>
      <w:proofErr w:type="gramStart"/>
      <w:r>
        <w:rPr>
          <w:rFonts w:asciiTheme="minorHAnsi" w:hAnsiTheme="minorHAnsi"/>
        </w:rPr>
        <w:t>e.g.</w:t>
      </w:r>
      <w:proofErr w:type="gramEnd"/>
      <w:r>
        <w:rPr>
          <w:rFonts w:asciiTheme="minorHAnsi" w:hAnsiTheme="minorHAnsi"/>
        </w:rPr>
        <w:t xml:space="preserve"> a database, paper record. Records must be kept for 3 years.</w:t>
      </w:r>
    </w:p>
    <w:p w14:paraId="3432144A" w14:textId="77777777" w:rsidR="000B21E6" w:rsidRDefault="000B21E6"/>
    <w:p w14:paraId="004123B8" w14:textId="77777777" w:rsidR="009450A0" w:rsidRPr="00710E77" w:rsidRDefault="009450A0" w:rsidP="00710E77">
      <w:pPr>
        <w:pStyle w:val="Heading2"/>
        <w:rPr>
          <w:rFonts w:asciiTheme="minorHAnsi" w:hAnsiTheme="minorHAnsi" w:cstheme="minorHAnsi"/>
          <w:b/>
          <w:bCs/>
          <w:color w:val="auto"/>
        </w:rPr>
      </w:pPr>
      <w:r w:rsidRPr="00710E77">
        <w:rPr>
          <w:rFonts w:asciiTheme="minorHAnsi" w:hAnsiTheme="minorHAnsi" w:cstheme="minorHAnsi"/>
          <w:b/>
          <w:bCs/>
          <w:color w:val="auto"/>
        </w:rPr>
        <w:t>Minimum Standards</w:t>
      </w:r>
    </w:p>
    <w:p w14:paraId="5E03EC3C" w14:textId="77777777" w:rsidR="009450A0" w:rsidRDefault="009450A0">
      <w:pPr>
        <w:rPr>
          <w:rFonts w:asciiTheme="minorHAnsi" w:hAnsiTheme="minorHAnsi"/>
          <w:b/>
          <w:sz w:val="22"/>
          <w:szCs w:val="22"/>
          <w:u w:val="single"/>
        </w:rPr>
      </w:pPr>
    </w:p>
    <w:p w14:paraId="578AA1F3" w14:textId="77777777" w:rsidR="009450A0" w:rsidRPr="009450A0" w:rsidRDefault="009450A0">
      <w:pPr>
        <w:rPr>
          <w:rFonts w:asciiTheme="minorHAnsi" w:hAnsiTheme="minorHAnsi"/>
          <w:sz w:val="22"/>
          <w:szCs w:val="22"/>
        </w:rPr>
      </w:pPr>
      <w:r>
        <w:rPr>
          <w:rFonts w:asciiTheme="minorHAnsi" w:hAnsiTheme="minorHAnsi"/>
          <w:sz w:val="22"/>
          <w:szCs w:val="22"/>
        </w:rPr>
        <w:t xml:space="preserve">To meet the minimum </w:t>
      </w:r>
      <w:proofErr w:type="gramStart"/>
      <w:r>
        <w:rPr>
          <w:rFonts w:asciiTheme="minorHAnsi" w:hAnsiTheme="minorHAnsi"/>
          <w:sz w:val="22"/>
          <w:szCs w:val="22"/>
        </w:rPr>
        <w:t>standards</w:t>
      </w:r>
      <w:proofErr w:type="gramEnd"/>
      <w:r>
        <w:rPr>
          <w:rFonts w:asciiTheme="minorHAnsi" w:hAnsiTheme="minorHAnsi"/>
          <w:sz w:val="22"/>
          <w:szCs w:val="22"/>
        </w:rPr>
        <w:t xml:space="preserve"> you must submit the following details:</w:t>
      </w:r>
    </w:p>
    <w:tbl>
      <w:tblPr>
        <w:tblStyle w:val="TableGrid"/>
        <w:tblW w:w="9493" w:type="dxa"/>
        <w:tblLook w:val="04A0" w:firstRow="1" w:lastRow="0" w:firstColumn="1" w:lastColumn="0" w:noHBand="0" w:noVBand="1"/>
      </w:tblPr>
      <w:tblGrid>
        <w:gridCol w:w="562"/>
        <w:gridCol w:w="8931"/>
      </w:tblGrid>
      <w:tr w:rsidR="009450A0" w14:paraId="4D51B785" w14:textId="77777777" w:rsidTr="00710E77">
        <w:tc>
          <w:tcPr>
            <w:tcW w:w="562" w:type="dxa"/>
          </w:tcPr>
          <w:p w14:paraId="7C73BB91" w14:textId="77777777" w:rsidR="009450A0" w:rsidRDefault="009450A0">
            <w:pPr>
              <w:rPr>
                <w:rFonts w:asciiTheme="minorHAnsi" w:hAnsiTheme="minorHAnsi"/>
                <w:sz w:val="22"/>
                <w:szCs w:val="22"/>
              </w:rPr>
            </w:pPr>
          </w:p>
        </w:tc>
        <w:tc>
          <w:tcPr>
            <w:tcW w:w="8931" w:type="dxa"/>
          </w:tcPr>
          <w:p w14:paraId="7EEFB723" w14:textId="768269F9" w:rsidR="00744E55" w:rsidRDefault="000631F0">
            <w:pPr>
              <w:rPr>
                <w:rFonts w:asciiTheme="minorHAnsi" w:hAnsiTheme="minorHAnsi"/>
                <w:sz w:val="22"/>
                <w:szCs w:val="22"/>
              </w:rPr>
            </w:pPr>
            <w:r>
              <w:rPr>
                <w:rFonts w:asciiTheme="minorHAnsi" w:hAnsiTheme="minorHAnsi"/>
                <w:sz w:val="22"/>
                <w:szCs w:val="22"/>
              </w:rPr>
              <w:t>A document outlining the qualifications you and your staff have and/or clear evidence of knowledge and experience (See guidance under Part A 4.</w:t>
            </w:r>
            <w:r w:rsidR="00E74ECA">
              <w:rPr>
                <w:rFonts w:asciiTheme="minorHAnsi" w:hAnsiTheme="minorHAnsi"/>
                <w:sz w:val="22"/>
                <w:szCs w:val="22"/>
              </w:rPr>
              <w:t>3</w:t>
            </w:r>
            <w:r>
              <w:rPr>
                <w:rFonts w:asciiTheme="minorHAnsi" w:hAnsiTheme="minorHAnsi"/>
                <w:sz w:val="22"/>
                <w:szCs w:val="22"/>
              </w:rPr>
              <w:t xml:space="preserve"> of the Guidance).</w:t>
            </w:r>
          </w:p>
        </w:tc>
      </w:tr>
      <w:tr w:rsidR="0057711B" w14:paraId="7772D897" w14:textId="77777777" w:rsidTr="00710E77">
        <w:tc>
          <w:tcPr>
            <w:tcW w:w="562" w:type="dxa"/>
          </w:tcPr>
          <w:p w14:paraId="52FA4241" w14:textId="77777777" w:rsidR="0057711B" w:rsidRDefault="0057711B">
            <w:pPr>
              <w:rPr>
                <w:rFonts w:asciiTheme="minorHAnsi" w:hAnsiTheme="minorHAnsi"/>
                <w:sz w:val="22"/>
                <w:szCs w:val="22"/>
              </w:rPr>
            </w:pPr>
          </w:p>
        </w:tc>
        <w:tc>
          <w:tcPr>
            <w:tcW w:w="8931" w:type="dxa"/>
          </w:tcPr>
          <w:p w14:paraId="65CCA8C1" w14:textId="77777777" w:rsidR="0057711B" w:rsidRDefault="0057711B">
            <w:pPr>
              <w:rPr>
                <w:rFonts w:asciiTheme="minorHAnsi" w:hAnsiTheme="minorHAnsi"/>
                <w:sz w:val="22"/>
                <w:szCs w:val="22"/>
              </w:rPr>
            </w:pPr>
            <w:r w:rsidRPr="0057711B">
              <w:rPr>
                <w:rFonts w:asciiTheme="minorHAnsi" w:hAnsiTheme="minorHAnsi"/>
                <w:sz w:val="22"/>
                <w:szCs w:val="22"/>
              </w:rPr>
              <w:t>A written training policy for all staff (See guidance under Part A 4.3 of the Guidance).</w:t>
            </w:r>
          </w:p>
        </w:tc>
      </w:tr>
      <w:tr w:rsidR="0057711B" w14:paraId="2F32CECA" w14:textId="77777777" w:rsidTr="00710E77">
        <w:tc>
          <w:tcPr>
            <w:tcW w:w="562" w:type="dxa"/>
          </w:tcPr>
          <w:p w14:paraId="1BA31573" w14:textId="77777777" w:rsidR="0057711B" w:rsidRDefault="0057711B">
            <w:pPr>
              <w:rPr>
                <w:rFonts w:asciiTheme="minorHAnsi" w:hAnsiTheme="minorHAnsi"/>
                <w:sz w:val="22"/>
                <w:szCs w:val="22"/>
              </w:rPr>
            </w:pPr>
          </w:p>
        </w:tc>
        <w:tc>
          <w:tcPr>
            <w:tcW w:w="8931" w:type="dxa"/>
          </w:tcPr>
          <w:p w14:paraId="5A7AAC5A" w14:textId="77777777" w:rsidR="0057711B" w:rsidRPr="0057711B" w:rsidRDefault="0057711B" w:rsidP="0057711B">
            <w:pPr>
              <w:rPr>
                <w:rFonts w:asciiTheme="minorHAnsi" w:hAnsiTheme="minorHAnsi"/>
                <w:sz w:val="22"/>
                <w:szCs w:val="22"/>
              </w:rPr>
            </w:pPr>
            <w:r>
              <w:rPr>
                <w:rFonts w:asciiTheme="minorHAnsi" w:hAnsiTheme="minorHAnsi"/>
                <w:sz w:val="22"/>
                <w:szCs w:val="22"/>
              </w:rPr>
              <w:t xml:space="preserve">Each unit must have a minimum headroom height of 2m and be designed to allow staff to access dogs and clean all parts of the unit safely. Where this is not feasible there must be a documented procedure in place to demonstrate the safety of staff </w:t>
            </w:r>
            <w:r w:rsidRPr="0057711B">
              <w:rPr>
                <w:rFonts w:asciiTheme="minorHAnsi" w:hAnsiTheme="minorHAnsi"/>
                <w:sz w:val="22"/>
                <w:szCs w:val="22"/>
              </w:rPr>
              <w:t xml:space="preserve">(See guidance under Part A </w:t>
            </w:r>
            <w:r>
              <w:rPr>
                <w:rFonts w:asciiTheme="minorHAnsi" w:hAnsiTheme="minorHAnsi"/>
                <w:sz w:val="22"/>
                <w:szCs w:val="22"/>
              </w:rPr>
              <w:t>5.1</w:t>
            </w:r>
            <w:r w:rsidRPr="0057711B">
              <w:rPr>
                <w:rFonts w:asciiTheme="minorHAnsi" w:hAnsiTheme="minorHAnsi"/>
                <w:sz w:val="22"/>
                <w:szCs w:val="22"/>
              </w:rPr>
              <w:t xml:space="preserve"> of the Guidance).</w:t>
            </w:r>
          </w:p>
        </w:tc>
      </w:tr>
      <w:tr w:rsidR="00CA5C02" w14:paraId="44A9B623" w14:textId="77777777" w:rsidTr="00710E77">
        <w:tc>
          <w:tcPr>
            <w:tcW w:w="562" w:type="dxa"/>
          </w:tcPr>
          <w:p w14:paraId="4B33E9E8" w14:textId="77777777" w:rsidR="00CA5C02" w:rsidRDefault="00CA5C02">
            <w:pPr>
              <w:rPr>
                <w:rFonts w:asciiTheme="minorHAnsi" w:hAnsiTheme="minorHAnsi"/>
                <w:sz w:val="22"/>
                <w:szCs w:val="22"/>
              </w:rPr>
            </w:pPr>
          </w:p>
        </w:tc>
        <w:tc>
          <w:tcPr>
            <w:tcW w:w="8931" w:type="dxa"/>
          </w:tcPr>
          <w:p w14:paraId="21A150E9" w14:textId="44DCDF91" w:rsidR="00CA5C02" w:rsidRDefault="00E74ECA" w:rsidP="0057711B">
            <w:pPr>
              <w:rPr>
                <w:rFonts w:asciiTheme="minorHAnsi" w:hAnsiTheme="minorHAnsi"/>
                <w:sz w:val="22"/>
                <w:szCs w:val="22"/>
              </w:rPr>
            </w:pPr>
            <w:r w:rsidRPr="00E74ECA">
              <w:rPr>
                <w:rFonts w:asciiTheme="minorHAnsi" w:hAnsiTheme="minorHAnsi"/>
                <w:sz w:val="22"/>
                <w:szCs w:val="22"/>
              </w:rPr>
              <w:t xml:space="preserve">Procedures must be in place to make sure housing and any equipment is cleaned as often as necessary and good hygiene standards are maintained. The housing must be capable of being thoroughly cleaned and disinfected. </w:t>
            </w:r>
            <w:r w:rsidR="00D818EE" w:rsidRPr="00D818EE">
              <w:rPr>
                <w:rFonts w:asciiTheme="minorHAnsi" w:hAnsiTheme="minorHAnsi"/>
                <w:sz w:val="22"/>
                <w:szCs w:val="22"/>
              </w:rPr>
              <w:t>(See guidance under Part A 5.5 of the Guidance).</w:t>
            </w:r>
          </w:p>
        </w:tc>
      </w:tr>
      <w:tr w:rsidR="009450A0" w14:paraId="15F85FE8" w14:textId="77777777" w:rsidTr="00710E77">
        <w:tc>
          <w:tcPr>
            <w:tcW w:w="562" w:type="dxa"/>
          </w:tcPr>
          <w:p w14:paraId="3DBD3F19" w14:textId="77777777" w:rsidR="009450A0" w:rsidRDefault="009450A0">
            <w:pPr>
              <w:rPr>
                <w:rFonts w:asciiTheme="minorHAnsi" w:hAnsiTheme="minorHAnsi"/>
                <w:sz w:val="22"/>
                <w:szCs w:val="22"/>
              </w:rPr>
            </w:pPr>
          </w:p>
        </w:tc>
        <w:tc>
          <w:tcPr>
            <w:tcW w:w="8931" w:type="dxa"/>
          </w:tcPr>
          <w:p w14:paraId="202A6884" w14:textId="77777777" w:rsidR="009450A0" w:rsidRPr="008936B9" w:rsidRDefault="00D818EE" w:rsidP="000377CF">
            <w:pPr>
              <w:rPr>
                <w:rFonts w:asciiTheme="minorHAnsi" w:hAnsiTheme="minorHAnsi"/>
                <w:color w:val="FF0000"/>
                <w:sz w:val="22"/>
                <w:szCs w:val="22"/>
              </w:rPr>
            </w:pPr>
            <w:r w:rsidRPr="00D818EE">
              <w:rPr>
                <w:rFonts w:asciiTheme="minorHAnsi" w:hAnsiTheme="minorHAnsi"/>
                <w:sz w:val="22"/>
                <w:szCs w:val="22"/>
              </w:rPr>
              <w:t>A plan/record of the type, quantity, frequency of food each dog receives must be kept (See guidance under Part A 6.1 of the Guidance).</w:t>
            </w:r>
          </w:p>
        </w:tc>
      </w:tr>
      <w:tr w:rsidR="00D818EE" w14:paraId="59A589E0" w14:textId="77777777" w:rsidTr="00710E77">
        <w:tc>
          <w:tcPr>
            <w:tcW w:w="562" w:type="dxa"/>
          </w:tcPr>
          <w:p w14:paraId="7483F37C" w14:textId="77777777" w:rsidR="00D818EE" w:rsidRDefault="00D818EE">
            <w:pPr>
              <w:rPr>
                <w:rFonts w:asciiTheme="minorHAnsi" w:hAnsiTheme="minorHAnsi"/>
                <w:sz w:val="22"/>
                <w:szCs w:val="22"/>
              </w:rPr>
            </w:pPr>
          </w:p>
        </w:tc>
        <w:tc>
          <w:tcPr>
            <w:tcW w:w="8931" w:type="dxa"/>
          </w:tcPr>
          <w:p w14:paraId="0520E2B2" w14:textId="77777777" w:rsidR="00D818EE" w:rsidRPr="00D818EE" w:rsidRDefault="00D818EE" w:rsidP="000377CF">
            <w:pPr>
              <w:rPr>
                <w:rFonts w:asciiTheme="minorHAnsi" w:hAnsiTheme="minorHAnsi"/>
                <w:sz w:val="22"/>
                <w:szCs w:val="22"/>
              </w:rPr>
            </w:pPr>
            <w:r>
              <w:rPr>
                <w:rFonts w:asciiTheme="minorHAnsi" w:hAnsiTheme="minorHAnsi"/>
                <w:sz w:val="22"/>
                <w:szCs w:val="22"/>
              </w:rPr>
              <w:t>A written plan for weaning puppies</w:t>
            </w:r>
            <w:r w:rsidR="00567162">
              <w:rPr>
                <w:rFonts w:asciiTheme="minorHAnsi" w:hAnsiTheme="minorHAnsi"/>
                <w:sz w:val="22"/>
                <w:szCs w:val="22"/>
              </w:rPr>
              <w:t xml:space="preserve"> (See guidance under Part A 6.1</w:t>
            </w:r>
            <w:r w:rsidR="00567162" w:rsidRPr="00D818EE">
              <w:rPr>
                <w:rFonts w:asciiTheme="minorHAnsi" w:hAnsiTheme="minorHAnsi"/>
                <w:sz w:val="22"/>
                <w:szCs w:val="22"/>
              </w:rPr>
              <w:t xml:space="preserve"> of the Guidance).</w:t>
            </w:r>
          </w:p>
        </w:tc>
      </w:tr>
      <w:tr w:rsidR="00567162" w14:paraId="6E1A88E2" w14:textId="77777777" w:rsidTr="00710E77">
        <w:tc>
          <w:tcPr>
            <w:tcW w:w="562" w:type="dxa"/>
          </w:tcPr>
          <w:p w14:paraId="3EA72D98" w14:textId="77777777" w:rsidR="00567162" w:rsidRDefault="00567162">
            <w:pPr>
              <w:rPr>
                <w:rFonts w:asciiTheme="minorHAnsi" w:hAnsiTheme="minorHAnsi"/>
                <w:sz w:val="22"/>
                <w:szCs w:val="22"/>
              </w:rPr>
            </w:pPr>
          </w:p>
        </w:tc>
        <w:tc>
          <w:tcPr>
            <w:tcW w:w="8931" w:type="dxa"/>
          </w:tcPr>
          <w:p w14:paraId="2E8CE42E" w14:textId="7568294A" w:rsidR="00567162" w:rsidRPr="008936B9" w:rsidRDefault="00567162" w:rsidP="000377CF">
            <w:pPr>
              <w:rPr>
                <w:rFonts w:asciiTheme="minorHAnsi" w:hAnsiTheme="minorHAnsi"/>
                <w:color w:val="FF0000"/>
                <w:sz w:val="22"/>
                <w:szCs w:val="22"/>
              </w:rPr>
            </w:pPr>
            <w:r w:rsidRPr="00567162">
              <w:rPr>
                <w:rFonts w:asciiTheme="minorHAnsi" w:hAnsiTheme="minorHAnsi"/>
                <w:sz w:val="22"/>
                <w:szCs w:val="22"/>
              </w:rPr>
              <w:t>An enrichment programme (See guidance under Part A 7.</w:t>
            </w:r>
            <w:r w:rsidR="00E74ECA">
              <w:rPr>
                <w:rFonts w:asciiTheme="minorHAnsi" w:hAnsiTheme="minorHAnsi"/>
                <w:sz w:val="22"/>
                <w:szCs w:val="22"/>
              </w:rPr>
              <w:t>1</w:t>
            </w:r>
            <w:r w:rsidRPr="00567162">
              <w:rPr>
                <w:rFonts w:asciiTheme="minorHAnsi" w:hAnsiTheme="minorHAnsi"/>
                <w:sz w:val="22"/>
                <w:szCs w:val="22"/>
              </w:rPr>
              <w:t xml:space="preserve"> of the Guidance).</w:t>
            </w:r>
          </w:p>
        </w:tc>
      </w:tr>
      <w:tr w:rsidR="009450A0" w14:paraId="7BF5B611" w14:textId="77777777" w:rsidTr="00710E77">
        <w:tc>
          <w:tcPr>
            <w:tcW w:w="562" w:type="dxa"/>
          </w:tcPr>
          <w:p w14:paraId="0B022D95" w14:textId="77777777" w:rsidR="009450A0" w:rsidRDefault="009450A0">
            <w:pPr>
              <w:rPr>
                <w:rFonts w:asciiTheme="minorHAnsi" w:hAnsiTheme="minorHAnsi"/>
                <w:sz w:val="22"/>
                <w:szCs w:val="22"/>
              </w:rPr>
            </w:pPr>
          </w:p>
        </w:tc>
        <w:tc>
          <w:tcPr>
            <w:tcW w:w="8931" w:type="dxa"/>
          </w:tcPr>
          <w:p w14:paraId="6D9B5AC2" w14:textId="77777777" w:rsidR="000377CF" w:rsidRPr="008936B9" w:rsidRDefault="004A0FA8" w:rsidP="004A0FA8">
            <w:pPr>
              <w:rPr>
                <w:rFonts w:asciiTheme="minorHAnsi" w:hAnsiTheme="minorHAnsi"/>
                <w:color w:val="FF0000"/>
                <w:sz w:val="22"/>
                <w:szCs w:val="22"/>
              </w:rPr>
            </w:pPr>
            <w:r w:rsidRPr="004A0FA8">
              <w:rPr>
                <w:rFonts w:asciiTheme="minorHAnsi" w:hAnsiTheme="minorHAnsi"/>
                <w:sz w:val="22"/>
                <w:szCs w:val="22"/>
              </w:rPr>
              <w:t xml:space="preserve">Behaviour assessment records must be kept </w:t>
            </w:r>
            <w:r>
              <w:rPr>
                <w:rFonts w:asciiTheme="minorHAnsi" w:hAnsiTheme="minorHAnsi"/>
                <w:sz w:val="22"/>
                <w:szCs w:val="22"/>
              </w:rPr>
              <w:t>(See guidance under Part A 7.3</w:t>
            </w:r>
            <w:r w:rsidRPr="004A0FA8">
              <w:rPr>
                <w:rFonts w:asciiTheme="minorHAnsi" w:hAnsiTheme="minorHAnsi"/>
                <w:sz w:val="22"/>
                <w:szCs w:val="22"/>
              </w:rPr>
              <w:t xml:space="preserve"> of the Guidance).</w:t>
            </w:r>
            <w:r>
              <w:rPr>
                <w:rFonts w:asciiTheme="minorHAnsi" w:hAnsiTheme="minorHAnsi"/>
                <w:sz w:val="22"/>
                <w:szCs w:val="22"/>
              </w:rPr>
              <w:t xml:space="preserve"> We will want to see how these records are to</w:t>
            </w:r>
            <w:r w:rsidR="00B37451">
              <w:rPr>
                <w:rFonts w:asciiTheme="minorHAnsi" w:hAnsiTheme="minorHAnsi"/>
                <w:sz w:val="22"/>
                <w:szCs w:val="22"/>
              </w:rPr>
              <w:t xml:space="preserve"> be kept </w:t>
            </w:r>
            <w:proofErr w:type="gramStart"/>
            <w:r w:rsidR="00B37451">
              <w:rPr>
                <w:rFonts w:asciiTheme="minorHAnsi" w:hAnsiTheme="minorHAnsi"/>
                <w:sz w:val="22"/>
                <w:szCs w:val="22"/>
              </w:rPr>
              <w:t>e.g.</w:t>
            </w:r>
            <w:proofErr w:type="gramEnd"/>
            <w:r w:rsidR="00B37451">
              <w:rPr>
                <w:rFonts w:asciiTheme="minorHAnsi" w:hAnsiTheme="minorHAnsi"/>
                <w:sz w:val="22"/>
                <w:szCs w:val="22"/>
              </w:rPr>
              <w:t xml:space="preserve"> document template</w:t>
            </w:r>
            <w:r>
              <w:rPr>
                <w:rFonts w:asciiTheme="minorHAnsi" w:hAnsiTheme="minorHAnsi"/>
                <w:sz w:val="22"/>
                <w:szCs w:val="22"/>
              </w:rPr>
              <w:t>.</w:t>
            </w:r>
          </w:p>
        </w:tc>
      </w:tr>
      <w:tr w:rsidR="004A0FA8" w14:paraId="03EDCB55" w14:textId="77777777" w:rsidTr="00710E77">
        <w:tc>
          <w:tcPr>
            <w:tcW w:w="562" w:type="dxa"/>
          </w:tcPr>
          <w:p w14:paraId="1C56921B" w14:textId="77777777" w:rsidR="004A0FA8" w:rsidRDefault="004A0FA8">
            <w:pPr>
              <w:rPr>
                <w:rFonts w:asciiTheme="minorHAnsi" w:hAnsiTheme="minorHAnsi"/>
                <w:sz w:val="22"/>
                <w:szCs w:val="22"/>
              </w:rPr>
            </w:pPr>
          </w:p>
        </w:tc>
        <w:tc>
          <w:tcPr>
            <w:tcW w:w="8931" w:type="dxa"/>
          </w:tcPr>
          <w:p w14:paraId="402FC6E3" w14:textId="77777777" w:rsidR="004A0FA8" w:rsidRPr="004A0FA8" w:rsidRDefault="00B37451" w:rsidP="004A0FA8">
            <w:pPr>
              <w:rPr>
                <w:rFonts w:asciiTheme="minorHAnsi" w:hAnsiTheme="minorHAnsi"/>
                <w:sz w:val="22"/>
                <w:szCs w:val="22"/>
              </w:rPr>
            </w:pPr>
            <w:r>
              <w:rPr>
                <w:rFonts w:asciiTheme="minorHAnsi" w:hAnsiTheme="minorHAnsi"/>
                <w:sz w:val="22"/>
                <w:szCs w:val="22"/>
              </w:rPr>
              <w:t>A policy must be in place for monitoring the introduction of new dogs to other dogs in either domestic or kennel environments, to avoid stress to either new or resident animals (See guidance under Part A 8.2</w:t>
            </w:r>
            <w:r w:rsidRPr="00D818EE">
              <w:rPr>
                <w:rFonts w:asciiTheme="minorHAnsi" w:hAnsiTheme="minorHAnsi"/>
                <w:sz w:val="22"/>
                <w:szCs w:val="22"/>
              </w:rPr>
              <w:t xml:space="preserve"> of the Guidance).</w:t>
            </w:r>
          </w:p>
        </w:tc>
      </w:tr>
      <w:tr w:rsidR="004A0FA8" w14:paraId="12D9167E" w14:textId="77777777" w:rsidTr="00710E77">
        <w:tc>
          <w:tcPr>
            <w:tcW w:w="562" w:type="dxa"/>
          </w:tcPr>
          <w:p w14:paraId="549E3FB0" w14:textId="77777777" w:rsidR="004A0FA8" w:rsidRDefault="004A0FA8">
            <w:pPr>
              <w:rPr>
                <w:rFonts w:asciiTheme="minorHAnsi" w:hAnsiTheme="minorHAnsi"/>
                <w:sz w:val="22"/>
                <w:szCs w:val="22"/>
              </w:rPr>
            </w:pPr>
          </w:p>
        </w:tc>
        <w:tc>
          <w:tcPr>
            <w:tcW w:w="8931" w:type="dxa"/>
          </w:tcPr>
          <w:p w14:paraId="55FE2B89" w14:textId="77777777" w:rsidR="004A0FA8" w:rsidRPr="004A0FA8" w:rsidRDefault="00B37451" w:rsidP="004A0FA8">
            <w:pPr>
              <w:rPr>
                <w:rFonts w:asciiTheme="minorHAnsi" w:hAnsiTheme="minorHAnsi"/>
                <w:sz w:val="22"/>
                <w:szCs w:val="22"/>
              </w:rPr>
            </w:pPr>
            <w:r w:rsidRPr="00B37451">
              <w:rPr>
                <w:rFonts w:asciiTheme="minorHAnsi" w:hAnsiTheme="minorHAnsi"/>
                <w:sz w:val="22"/>
                <w:szCs w:val="22"/>
              </w:rPr>
              <w:t>Feeding Procedure (See guidance under Part A 6.0, 9.1 of the Guidance).</w:t>
            </w:r>
          </w:p>
        </w:tc>
      </w:tr>
      <w:tr w:rsidR="009450A0" w14:paraId="508399DB" w14:textId="77777777" w:rsidTr="00710E77">
        <w:tc>
          <w:tcPr>
            <w:tcW w:w="562" w:type="dxa"/>
          </w:tcPr>
          <w:p w14:paraId="2D408C95" w14:textId="77777777" w:rsidR="009450A0" w:rsidRDefault="009450A0">
            <w:pPr>
              <w:rPr>
                <w:rFonts w:asciiTheme="minorHAnsi" w:hAnsiTheme="minorHAnsi"/>
                <w:sz w:val="22"/>
                <w:szCs w:val="22"/>
              </w:rPr>
            </w:pPr>
          </w:p>
        </w:tc>
        <w:tc>
          <w:tcPr>
            <w:tcW w:w="8931" w:type="dxa"/>
          </w:tcPr>
          <w:p w14:paraId="205DFB6F" w14:textId="77777777" w:rsidR="009450A0" w:rsidRPr="008936B9" w:rsidRDefault="005B53E4">
            <w:pPr>
              <w:rPr>
                <w:rFonts w:asciiTheme="minorHAnsi" w:hAnsiTheme="minorHAnsi"/>
                <w:color w:val="FF0000"/>
                <w:sz w:val="22"/>
                <w:szCs w:val="22"/>
              </w:rPr>
            </w:pPr>
            <w:r w:rsidRPr="005B53E4">
              <w:rPr>
                <w:rFonts w:asciiTheme="minorHAnsi" w:hAnsiTheme="minorHAnsi"/>
                <w:sz w:val="22"/>
                <w:szCs w:val="22"/>
              </w:rPr>
              <w:t>Cleaning and disinfection Procedures (See guidance under Part A 5.5, 6.4, 6.6, 9.1 of the Guidance).</w:t>
            </w:r>
          </w:p>
        </w:tc>
      </w:tr>
      <w:tr w:rsidR="009450A0" w14:paraId="583A0495" w14:textId="77777777" w:rsidTr="00710E77">
        <w:tc>
          <w:tcPr>
            <w:tcW w:w="562" w:type="dxa"/>
          </w:tcPr>
          <w:p w14:paraId="63B239CD" w14:textId="77777777" w:rsidR="009450A0" w:rsidRDefault="009450A0">
            <w:pPr>
              <w:rPr>
                <w:rFonts w:asciiTheme="minorHAnsi" w:hAnsiTheme="minorHAnsi"/>
                <w:sz w:val="22"/>
                <w:szCs w:val="22"/>
              </w:rPr>
            </w:pPr>
          </w:p>
        </w:tc>
        <w:tc>
          <w:tcPr>
            <w:tcW w:w="8931" w:type="dxa"/>
          </w:tcPr>
          <w:p w14:paraId="4760661B" w14:textId="77777777" w:rsidR="009450A0" w:rsidRPr="008936B9" w:rsidRDefault="005B53E4">
            <w:pPr>
              <w:rPr>
                <w:rFonts w:asciiTheme="minorHAnsi" w:hAnsiTheme="minorHAnsi"/>
                <w:color w:val="FF0000"/>
                <w:sz w:val="22"/>
                <w:szCs w:val="22"/>
              </w:rPr>
            </w:pPr>
            <w:r w:rsidRPr="005B53E4">
              <w:rPr>
                <w:rFonts w:asciiTheme="minorHAnsi" w:hAnsiTheme="minorHAnsi"/>
                <w:sz w:val="22"/>
                <w:szCs w:val="22"/>
              </w:rPr>
              <w:t>Transportation procedure (See guidance under Part A 5.6, 9.1 of the Guidance).</w:t>
            </w:r>
          </w:p>
        </w:tc>
      </w:tr>
      <w:tr w:rsidR="009450A0" w14:paraId="58D97BAB" w14:textId="77777777" w:rsidTr="00710E77">
        <w:tc>
          <w:tcPr>
            <w:tcW w:w="562" w:type="dxa"/>
          </w:tcPr>
          <w:p w14:paraId="44CE9BC0" w14:textId="77777777" w:rsidR="009450A0" w:rsidRDefault="009450A0">
            <w:pPr>
              <w:rPr>
                <w:rFonts w:asciiTheme="minorHAnsi" w:hAnsiTheme="minorHAnsi"/>
                <w:sz w:val="22"/>
                <w:szCs w:val="22"/>
              </w:rPr>
            </w:pPr>
          </w:p>
        </w:tc>
        <w:tc>
          <w:tcPr>
            <w:tcW w:w="8931" w:type="dxa"/>
          </w:tcPr>
          <w:p w14:paraId="4539E380" w14:textId="77777777" w:rsidR="009450A0" w:rsidRPr="008936B9" w:rsidRDefault="005B53E4" w:rsidP="0074775C">
            <w:pPr>
              <w:rPr>
                <w:rFonts w:asciiTheme="minorHAnsi" w:hAnsiTheme="minorHAnsi"/>
                <w:color w:val="FF0000"/>
                <w:sz w:val="22"/>
                <w:szCs w:val="22"/>
              </w:rPr>
            </w:pPr>
            <w:r w:rsidRPr="005B53E4">
              <w:rPr>
                <w:rFonts w:asciiTheme="minorHAnsi" w:hAnsiTheme="minorHAnsi"/>
                <w:sz w:val="22"/>
                <w:szCs w:val="22"/>
              </w:rPr>
              <w:t>The prevention of, and control of the spread of disease (See guidance under Part A 9.0 of the Guidance).</w:t>
            </w:r>
          </w:p>
        </w:tc>
      </w:tr>
      <w:tr w:rsidR="009450A0" w14:paraId="6502565D" w14:textId="77777777" w:rsidTr="00710E77">
        <w:tc>
          <w:tcPr>
            <w:tcW w:w="562" w:type="dxa"/>
          </w:tcPr>
          <w:p w14:paraId="2A6A249E" w14:textId="77777777" w:rsidR="009450A0" w:rsidRDefault="009450A0">
            <w:pPr>
              <w:rPr>
                <w:rFonts w:asciiTheme="minorHAnsi" w:hAnsiTheme="minorHAnsi"/>
                <w:sz w:val="22"/>
                <w:szCs w:val="22"/>
              </w:rPr>
            </w:pPr>
          </w:p>
        </w:tc>
        <w:tc>
          <w:tcPr>
            <w:tcW w:w="8931" w:type="dxa"/>
          </w:tcPr>
          <w:p w14:paraId="450B7E8A" w14:textId="77777777" w:rsidR="009450A0" w:rsidRPr="008936B9" w:rsidRDefault="005B53E4">
            <w:pPr>
              <w:rPr>
                <w:rFonts w:asciiTheme="minorHAnsi" w:hAnsiTheme="minorHAnsi"/>
                <w:color w:val="FF0000"/>
                <w:sz w:val="22"/>
                <w:szCs w:val="22"/>
              </w:rPr>
            </w:pPr>
            <w:r w:rsidRPr="005B53E4">
              <w:rPr>
                <w:rFonts w:asciiTheme="minorHAnsi" w:hAnsiTheme="minorHAnsi"/>
                <w:sz w:val="22"/>
                <w:szCs w:val="22"/>
              </w:rPr>
              <w:t>Monitoring and ensuring the health and welfare of all the animals (See guidance under Part A 6.2, 7.3, 9.1, 9.13 of the Guidance).</w:t>
            </w:r>
          </w:p>
        </w:tc>
      </w:tr>
      <w:tr w:rsidR="007671F2" w14:paraId="7DC1602B" w14:textId="77777777" w:rsidTr="00710E77">
        <w:tc>
          <w:tcPr>
            <w:tcW w:w="562" w:type="dxa"/>
          </w:tcPr>
          <w:p w14:paraId="25B80CA5" w14:textId="77777777" w:rsidR="007671F2" w:rsidRDefault="007671F2">
            <w:pPr>
              <w:rPr>
                <w:rFonts w:asciiTheme="minorHAnsi" w:hAnsiTheme="minorHAnsi"/>
                <w:sz w:val="22"/>
                <w:szCs w:val="22"/>
              </w:rPr>
            </w:pPr>
          </w:p>
        </w:tc>
        <w:tc>
          <w:tcPr>
            <w:tcW w:w="8931" w:type="dxa"/>
          </w:tcPr>
          <w:p w14:paraId="20C9EE22" w14:textId="77777777" w:rsidR="007671F2" w:rsidRPr="008936B9" w:rsidRDefault="005B53E4" w:rsidP="007671F2">
            <w:pPr>
              <w:rPr>
                <w:rFonts w:asciiTheme="minorHAnsi" w:hAnsiTheme="minorHAnsi"/>
                <w:color w:val="FF0000"/>
                <w:sz w:val="22"/>
                <w:szCs w:val="22"/>
              </w:rPr>
            </w:pPr>
            <w:r w:rsidRPr="005B53E4">
              <w:rPr>
                <w:rFonts w:asciiTheme="minorHAnsi" w:hAnsiTheme="minorHAnsi"/>
                <w:sz w:val="22"/>
                <w:szCs w:val="22"/>
              </w:rPr>
              <w:t>The death or escape of an animal (including the storage of dead animals) (See guidance under Part A 9.1 of the Guidance).</w:t>
            </w:r>
          </w:p>
        </w:tc>
      </w:tr>
      <w:tr w:rsidR="007671F2" w14:paraId="2FDAE6CF" w14:textId="77777777" w:rsidTr="00710E77">
        <w:tc>
          <w:tcPr>
            <w:tcW w:w="562" w:type="dxa"/>
          </w:tcPr>
          <w:p w14:paraId="7E935F4F" w14:textId="77777777" w:rsidR="007671F2" w:rsidRDefault="007671F2">
            <w:pPr>
              <w:rPr>
                <w:rFonts w:asciiTheme="minorHAnsi" w:hAnsiTheme="minorHAnsi"/>
                <w:sz w:val="22"/>
                <w:szCs w:val="22"/>
              </w:rPr>
            </w:pPr>
          </w:p>
        </w:tc>
        <w:tc>
          <w:tcPr>
            <w:tcW w:w="8931" w:type="dxa"/>
          </w:tcPr>
          <w:p w14:paraId="76BC461E" w14:textId="77777777" w:rsidR="007671F2" w:rsidRPr="008936B9" w:rsidRDefault="005B53E4" w:rsidP="007671F2">
            <w:pPr>
              <w:rPr>
                <w:rFonts w:asciiTheme="minorHAnsi" w:hAnsiTheme="minorHAnsi"/>
                <w:color w:val="FF0000"/>
                <w:sz w:val="22"/>
                <w:szCs w:val="22"/>
              </w:rPr>
            </w:pPr>
            <w:r w:rsidRPr="005B53E4">
              <w:rPr>
                <w:rFonts w:asciiTheme="minorHAnsi" w:hAnsiTheme="minorHAnsi"/>
                <w:sz w:val="22"/>
                <w:szCs w:val="22"/>
              </w:rPr>
              <w:t>Procedure covering the care of the animals following the suspension or revocation of the licence or during and following an emergency (See guidance under Part A 9.1 of the Guidance).</w:t>
            </w:r>
          </w:p>
        </w:tc>
      </w:tr>
      <w:tr w:rsidR="005B53E4" w14:paraId="4C5A461E" w14:textId="77777777" w:rsidTr="00710E77">
        <w:tc>
          <w:tcPr>
            <w:tcW w:w="562" w:type="dxa"/>
          </w:tcPr>
          <w:p w14:paraId="7BD55B0D" w14:textId="77777777" w:rsidR="005B53E4" w:rsidRDefault="005B53E4" w:rsidP="005B53E4">
            <w:pPr>
              <w:rPr>
                <w:rFonts w:asciiTheme="minorHAnsi" w:hAnsiTheme="minorHAnsi"/>
                <w:sz w:val="22"/>
                <w:szCs w:val="22"/>
              </w:rPr>
            </w:pPr>
          </w:p>
        </w:tc>
        <w:tc>
          <w:tcPr>
            <w:tcW w:w="8931" w:type="dxa"/>
          </w:tcPr>
          <w:p w14:paraId="43130958" w14:textId="77777777" w:rsidR="005B53E4" w:rsidRPr="008936B9" w:rsidRDefault="005B53E4" w:rsidP="005B53E4">
            <w:pPr>
              <w:rPr>
                <w:rFonts w:asciiTheme="minorHAnsi" w:hAnsiTheme="minorHAnsi"/>
                <w:color w:val="FF0000"/>
                <w:sz w:val="22"/>
                <w:szCs w:val="22"/>
              </w:rPr>
            </w:pPr>
            <w:r w:rsidRPr="005B53E4">
              <w:rPr>
                <w:rFonts w:asciiTheme="minorHAnsi" w:hAnsiTheme="minorHAnsi"/>
                <w:sz w:val="22"/>
                <w:szCs w:val="22"/>
              </w:rPr>
              <w:t>If isolation facilities are to be provided by the attending veterinary practice, a letter must be provided by the practice stating that they are prepared to provide such facilities. If not stated isolation protocols must be provided (See guidance under Part A 9.3 of the Guidance).</w:t>
            </w:r>
          </w:p>
        </w:tc>
      </w:tr>
      <w:tr w:rsidR="005B53E4" w14:paraId="0B8B2620" w14:textId="77777777" w:rsidTr="00710E77">
        <w:tc>
          <w:tcPr>
            <w:tcW w:w="562" w:type="dxa"/>
          </w:tcPr>
          <w:p w14:paraId="3E40BBE0" w14:textId="77777777" w:rsidR="005B53E4" w:rsidRDefault="005B53E4" w:rsidP="005B53E4">
            <w:pPr>
              <w:rPr>
                <w:rFonts w:asciiTheme="minorHAnsi" w:hAnsiTheme="minorHAnsi"/>
                <w:sz w:val="22"/>
                <w:szCs w:val="22"/>
              </w:rPr>
            </w:pPr>
          </w:p>
        </w:tc>
        <w:tc>
          <w:tcPr>
            <w:tcW w:w="8931" w:type="dxa"/>
          </w:tcPr>
          <w:p w14:paraId="54744515" w14:textId="77777777" w:rsidR="005B53E4" w:rsidRPr="008936B9" w:rsidRDefault="00551AC3" w:rsidP="005B53E4">
            <w:pPr>
              <w:rPr>
                <w:rFonts w:asciiTheme="minorHAnsi" w:hAnsiTheme="minorHAnsi"/>
                <w:color w:val="FF0000"/>
                <w:sz w:val="22"/>
                <w:szCs w:val="22"/>
              </w:rPr>
            </w:pPr>
            <w:r w:rsidRPr="00551AC3">
              <w:rPr>
                <w:rFonts w:asciiTheme="minorHAnsi" w:hAnsiTheme="minorHAnsi"/>
                <w:sz w:val="22"/>
                <w:szCs w:val="22"/>
              </w:rPr>
              <w:t>A written emergency plan (See guidance under Part A 10.0 of the Guidance).</w:t>
            </w:r>
          </w:p>
        </w:tc>
      </w:tr>
      <w:tr w:rsidR="005B53E4" w14:paraId="20D0D8B2" w14:textId="77777777" w:rsidTr="00710E77">
        <w:tc>
          <w:tcPr>
            <w:tcW w:w="562" w:type="dxa"/>
          </w:tcPr>
          <w:p w14:paraId="744257E3" w14:textId="77777777" w:rsidR="005B53E4" w:rsidRDefault="005B53E4" w:rsidP="005B53E4">
            <w:pPr>
              <w:rPr>
                <w:rFonts w:asciiTheme="minorHAnsi" w:hAnsiTheme="minorHAnsi"/>
                <w:sz w:val="22"/>
                <w:szCs w:val="22"/>
              </w:rPr>
            </w:pPr>
          </w:p>
        </w:tc>
        <w:tc>
          <w:tcPr>
            <w:tcW w:w="8931" w:type="dxa"/>
          </w:tcPr>
          <w:p w14:paraId="30329D7F" w14:textId="77777777" w:rsidR="005B53E4" w:rsidRPr="008936B9" w:rsidRDefault="002D6523" w:rsidP="002D6523">
            <w:pPr>
              <w:rPr>
                <w:rFonts w:asciiTheme="minorHAnsi" w:hAnsiTheme="minorHAnsi"/>
                <w:color w:val="FF0000"/>
                <w:sz w:val="22"/>
                <w:szCs w:val="22"/>
              </w:rPr>
            </w:pPr>
            <w:r w:rsidRPr="002D6523">
              <w:rPr>
                <w:rFonts w:asciiTheme="minorHAnsi" w:hAnsiTheme="minorHAnsi"/>
                <w:sz w:val="22"/>
                <w:szCs w:val="22"/>
              </w:rPr>
              <w:t xml:space="preserve">A documented socialisation and habituation programme for puppies </w:t>
            </w:r>
            <w:r>
              <w:rPr>
                <w:rFonts w:asciiTheme="minorHAnsi" w:hAnsiTheme="minorHAnsi"/>
                <w:sz w:val="22"/>
                <w:szCs w:val="22"/>
              </w:rPr>
              <w:t>(See guidance under Part B</w:t>
            </w:r>
            <w:r w:rsidRPr="002D6523">
              <w:rPr>
                <w:rFonts w:asciiTheme="minorHAnsi" w:hAnsiTheme="minorHAnsi"/>
                <w:sz w:val="22"/>
                <w:szCs w:val="22"/>
              </w:rPr>
              <w:t xml:space="preserve"> 1</w:t>
            </w:r>
            <w:r>
              <w:rPr>
                <w:rFonts w:asciiTheme="minorHAnsi" w:hAnsiTheme="minorHAnsi"/>
                <w:sz w:val="22"/>
                <w:szCs w:val="22"/>
              </w:rPr>
              <w:t xml:space="preserve"> 4</w:t>
            </w:r>
            <w:r w:rsidRPr="002D6523">
              <w:rPr>
                <w:rFonts w:asciiTheme="minorHAnsi" w:hAnsiTheme="minorHAnsi"/>
                <w:sz w:val="22"/>
                <w:szCs w:val="22"/>
              </w:rPr>
              <w:t>.0 of the Guidance).</w:t>
            </w:r>
          </w:p>
        </w:tc>
      </w:tr>
      <w:tr w:rsidR="005B53E4" w14:paraId="7126B101" w14:textId="77777777" w:rsidTr="00710E77">
        <w:tc>
          <w:tcPr>
            <w:tcW w:w="562" w:type="dxa"/>
          </w:tcPr>
          <w:p w14:paraId="0715EA0D" w14:textId="77777777" w:rsidR="005B53E4" w:rsidRDefault="005B53E4" w:rsidP="005B53E4">
            <w:pPr>
              <w:rPr>
                <w:rFonts w:asciiTheme="minorHAnsi" w:hAnsiTheme="minorHAnsi"/>
                <w:sz w:val="22"/>
                <w:szCs w:val="22"/>
              </w:rPr>
            </w:pPr>
          </w:p>
        </w:tc>
        <w:tc>
          <w:tcPr>
            <w:tcW w:w="8931" w:type="dxa"/>
          </w:tcPr>
          <w:p w14:paraId="6EC0AFD7" w14:textId="77777777" w:rsidR="005B53E4" w:rsidRPr="008936B9" w:rsidRDefault="002D6523" w:rsidP="005B53E4">
            <w:pPr>
              <w:rPr>
                <w:rFonts w:asciiTheme="minorHAnsi" w:hAnsiTheme="minorHAnsi"/>
                <w:color w:val="FF0000"/>
                <w:sz w:val="22"/>
                <w:szCs w:val="22"/>
              </w:rPr>
            </w:pPr>
            <w:r w:rsidRPr="002D6523">
              <w:rPr>
                <w:rFonts w:asciiTheme="minorHAnsi" w:hAnsiTheme="minorHAnsi"/>
                <w:sz w:val="22"/>
                <w:szCs w:val="22"/>
              </w:rPr>
              <w:t>Procedures must be in place to ensure that all staff know how to appropriately socialise puppies (See guidance under Part B 4.0 of the Guidance).</w:t>
            </w:r>
          </w:p>
        </w:tc>
      </w:tr>
      <w:tr w:rsidR="005B53E4" w14:paraId="1B42D4EC" w14:textId="77777777" w:rsidTr="00710E77">
        <w:tc>
          <w:tcPr>
            <w:tcW w:w="562" w:type="dxa"/>
          </w:tcPr>
          <w:p w14:paraId="746174C3" w14:textId="77777777" w:rsidR="005B53E4" w:rsidRDefault="005B53E4" w:rsidP="005B53E4">
            <w:pPr>
              <w:rPr>
                <w:rFonts w:asciiTheme="minorHAnsi" w:hAnsiTheme="minorHAnsi"/>
                <w:sz w:val="22"/>
                <w:szCs w:val="22"/>
              </w:rPr>
            </w:pPr>
          </w:p>
        </w:tc>
        <w:tc>
          <w:tcPr>
            <w:tcW w:w="8931" w:type="dxa"/>
          </w:tcPr>
          <w:p w14:paraId="59C9515A" w14:textId="55580F65" w:rsidR="005B53E4" w:rsidRPr="009F4A21" w:rsidRDefault="009F4A21" w:rsidP="009F4A21">
            <w:pPr>
              <w:rPr>
                <w:rFonts w:asciiTheme="minorHAnsi" w:hAnsiTheme="minorHAnsi"/>
                <w:sz w:val="22"/>
                <w:szCs w:val="22"/>
              </w:rPr>
            </w:pPr>
            <w:r w:rsidRPr="009F4A21">
              <w:rPr>
                <w:rFonts w:asciiTheme="minorHAnsi" w:hAnsiTheme="minorHAnsi"/>
                <w:sz w:val="22"/>
                <w:szCs w:val="22"/>
              </w:rPr>
              <w:t>Procedures must be in place for dealing with dogs that show abnormal behaviour (See guidance under Part B 5.</w:t>
            </w:r>
            <w:r w:rsidR="008230CA">
              <w:rPr>
                <w:rFonts w:asciiTheme="minorHAnsi" w:hAnsiTheme="minorHAnsi"/>
                <w:sz w:val="22"/>
                <w:szCs w:val="22"/>
              </w:rPr>
              <w:t>3</w:t>
            </w:r>
            <w:r w:rsidR="00DC2177">
              <w:rPr>
                <w:rFonts w:asciiTheme="minorHAnsi" w:hAnsiTheme="minorHAnsi"/>
                <w:sz w:val="22"/>
                <w:szCs w:val="22"/>
              </w:rPr>
              <w:t xml:space="preserve"> </w:t>
            </w:r>
            <w:r w:rsidRPr="009F4A21">
              <w:rPr>
                <w:rFonts w:asciiTheme="minorHAnsi" w:hAnsiTheme="minorHAnsi"/>
                <w:sz w:val="22"/>
                <w:szCs w:val="22"/>
              </w:rPr>
              <w:t>of the Guidance).</w:t>
            </w:r>
          </w:p>
        </w:tc>
      </w:tr>
      <w:tr w:rsidR="005B53E4" w14:paraId="1A51C465" w14:textId="77777777" w:rsidTr="00710E77">
        <w:tc>
          <w:tcPr>
            <w:tcW w:w="562" w:type="dxa"/>
          </w:tcPr>
          <w:p w14:paraId="6DEF126F" w14:textId="77777777" w:rsidR="005B53E4" w:rsidRDefault="005B53E4" w:rsidP="005B53E4">
            <w:pPr>
              <w:rPr>
                <w:rFonts w:asciiTheme="minorHAnsi" w:hAnsiTheme="minorHAnsi"/>
                <w:sz w:val="22"/>
                <w:szCs w:val="22"/>
              </w:rPr>
            </w:pPr>
          </w:p>
        </w:tc>
        <w:tc>
          <w:tcPr>
            <w:tcW w:w="8931" w:type="dxa"/>
          </w:tcPr>
          <w:p w14:paraId="07A32F14" w14:textId="77777777" w:rsidR="005B53E4" w:rsidRPr="00DC2177" w:rsidRDefault="00DC2177" w:rsidP="00551AC3">
            <w:pPr>
              <w:rPr>
                <w:rFonts w:asciiTheme="minorHAnsi" w:hAnsiTheme="minorHAnsi"/>
                <w:sz w:val="22"/>
                <w:szCs w:val="22"/>
              </w:rPr>
            </w:pPr>
            <w:r>
              <w:rPr>
                <w:rFonts w:asciiTheme="minorHAnsi" w:hAnsiTheme="minorHAnsi"/>
                <w:sz w:val="22"/>
                <w:szCs w:val="22"/>
              </w:rPr>
              <w:t xml:space="preserve">A preventative healthcare plan agreed with the veterinarian with whom the licence holder has registered </w:t>
            </w:r>
            <w:r w:rsidRPr="009F4A21">
              <w:rPr>
                <w:rFonts w:asciiTheme="minorHAnsi" w:hAnsiTheme="minorHAnsi"/>
                <w:sz w:val="22"/>
                <w:szCs w:val="22"/>
              </w:rPr>
              <w:t xml:space="preserve">(See guidance under Part </w:t>
            </w:r>
            <w:r>
              <w:rPr>
                <w:rFonts w:asciiTheme="minorHAnsi" w:hAnsiTheme="minorHAnsi"/>
                <w:sz w:val="22"/>
                <w:szCs w:val="22"/>
              </w:rPr>
              <w:t xml:space="preserve">B 6.12 </w:t>
            </w:r>
            <w:r w:rsidRPr="009F4A21">
              <w:rPr>
                <w:rFonts w:asciiTheme="minorHAnsi" w:hAnsiTheme="minorHAnsi"/>
                <w:sz w:val="22"/>
                <w:szCs w:val="22"/>
              </w:rPr>
              <w:t>of the Guidance).</w:t>
            </w:r>
          </w:p>
        </w:tc>
      </w:tr>
    </w:tbl>
    <w:p w14:paraId="4DE81E06" w14:textId="77777777" w:rsidR="008A4E02" w:rsidRDefault="008A4E02">
      <w:pPr>
        <w:rPr>
          <w:rFonts w:asciiTheme="minorHAnsi" w:hAnsiTheme="minorHAnsi"/>
          <w:sz w:val="22"/>
          <w:szCs w:val="22"/>
        </w:rPr>
      </w:pPr>
    </w:p>
    <w:p w14:paraId="5CD4A305" w14:textId="77777777" w:rsidR="009450A0" w:rsidRPr="00710E77" w:rsidRDefault="009450A0" w:rsidP="00710E77">
      <w:pPr>
        <w:pStyle w:val="Heading2"/>
        <w:rPr>
          <w:rFonts w:asciiTheme="minorHAnsi" w:hAnsiTheme="minorHAnsi" w:cstheme="minorHAnsi"/>
          <w:b/>
          <w:bCs/>
          <w:color w:val="auto"/>
        </w:rPr>
      </w:pPr>
      <w:r w:rsidRPr="00710E77">
        <w:rPr>
          <w:rFonts w:asciiTheme="minorHAnsi" w:hAnsiTheme="minorHAnsi" w:cstheme="minorHAnsi"/>
          <w:b/>
          <w:bCs/>
          <w:color w:val="auto"/>
        </w:rPr>
        <w:t>Higher Standards</w:t>
      </w:r>
    </w:p>
    <w:p w14:paraId="647EE4A9" w14:textId="77777777" w:rsidR="009450A0" w:rsidRDefault="009450A0" w:rsidP="009450A0">
      <w:pPr>
        <w:rPr>
          <w:rFonts w:asciiTheme="minorHAnsi" w:hAnsiTheme="minorHAnsi"/>
          <w:b/>
          <w:sz w:val="22"/>
          <w:szCs w:val="22"/>
          <w:u w:val="single"/>
        </w:rPr>
      </w:pPr>
    </w:p>
    <w:p w14:paraId="73170C2C" w14:textId="77777777" w:rsidR="009450A0" w:rsidRPr="009450A0" w:rsidRDefault="00DD5240" w:rsidP="009450A0">
      <w:pPr>
        <w:rPr>
          <w:rFonts w:asciiTheme="minorHAnsi" w:hAnsiTheme="minorHAnsi"/>
          <w:sz w:val="22"/>
          <w:szCs w:val="22"/>
        </w:rPr>
      </w:pPr>
      <w:r>
        <w:rPr>
          <w:rFonts w:asciiTheme="minorHAnsi" w:hAnsiTheme="minorHAnsi"/>
          <w:sz w:val="22"/>
          <w:szCs w:val="22"/>
        </w:rPr>
        <w:t>If you wish to</w:t>
      </w:r>
      <w:r w:rsidR="009450A0">
        <w:rPr>
          <w:rFonts w:asciiTheme="minorHAnsi" w:hAnsiTheme="minorHAnsi"/>
          <w:sz w:val="22"/>
          <w:szCs w:val="22"/>
        </w:rPr>
        <w:t xml:space="preserve"> meet the higher standards you</w:t>
      </w:r>
      <w:r>
        <w:rPr>
          <w:rFonts w:asciiTheme="minorHAnsi" w:hAnsiTheme="minorHAnsi"/>
          <w:sz w:val="22"/>
          <w:szCs w:val="22"/>
        </w:rPr>
        <w:t xml:space="preserve"> m</w:t>
      </w:r>
      <w:r w:rsidR="00333C90">
        <w:rPr>
          <w:rFonts w:asciiTheme="minorHAnsi" w:hAnsiTheme="minorHAnsi"/>
          <w:sz w:val="22"/>
          <w:szCs w:val="22"/>
        </w:rPr>
        <w:t>ust</w:t>
      </w:r>
      <w:r w:rsidR="009450A0">
        <w:rPr>
          <w:rFonts w:asciiTheme="minorHAnsi" w:hAnsiTheme="minorHAnsi"/>
          <w:sz w:val="22"/>
          <w:szCs w:val="22"/>
        </w:rPr>
        <w:t xml:space="preserve"> submit </w:t>
      </w:r>
      <w:r w:rsidR="00333C90">
        <w:rPr>
          <w:rFonts w:asciiTheme="minorHAnsi" w:hAnsiTheme="minorHAnsi"/>
          <w:sz w:val="22"/>
          <w:szCs w:val="22"/>
        </w:rPr>
        <w:t>evidence that you do or how you will meet the following standards</w:t>
      </w:r>
      <w:r w:rsidR="009450A0">
        <w:rPr>
          <w:rFonts w:asciiTheme="minorHAnsi" w:hAnsiTheme="minorHAnsi"/>
          <w:sz w:val="22"/>
          <w:szCs w:val="22"/>
        </w:rPr>
        <w:t>:</w:t>
      </w:r>
    </w:p>
    <w:p w14:paraId="563AD996" w14:textId="77777777" w:rsidR="009450A0" w:rsidRDefault="009450A0" w:rsidP="009450A0">
      <w:pPr>
        <w:rPr>
          <w:rFonts w:asciiTheme="minorHAnsi" w:hAnsiTheme="minorHAnsi"/>
          <w:b/>
          <w:sz w:val="22"/>
          <w:szCs w:val="22"/>
          <w:u w:val="single"/>
        </w:rPr>
      </w:pPr>
    </w:p>
    <w:tbl>
      <w:tblPr>
        <w:tblStyle w:val="TableGrid"/>
        <w:tblW w:w="9493" w:type="dxa"/>
        <w:tblLook w:val="04A0" w:firstRow="1" w:lastRow="0" w:firstColumn="1" w:lastColumn="0" w:noHBand="0" w:noVBand="1"/>
      </w:tblPr>
      <w:tblGrid>
        <w:gridCol w:w="562"/>
        <w:gridCol w:w="8931"/>
      </w:tblGrid>
      <w:tr w:rsidR="009450A0" w14:paraId="04D6488F" w14:textId="77777777" w:rsidTr="00710E77">
        <w:tc>
          <w:tcPr>
            <w:tcW w:w="562" w:type="dxa"/>
          </w:tcPr>
          <w:p w14:paraId="2ABA3506" w14:textId="77777777" w:rsidR="009450A0" w:rsidRDefault="009450A0" w:rsidP="00E950FF">
            <w:pPr>
              <w:rPr>
                <w:rFonts w:asciiTheme="minorHAnsi" w:hAnsiTheme="minorHAnsi"/>
                <w:sz w:val="22"/>
                <w:szCs w:val="22"/>
              </w:rPr>
            </w:pPr>
          </w:p>
        </w:tc>
        <w:tc>
          <w:tcPr>
            <w:tcW w:w="8931" w:type="dxa"/>
          </w:tcPr>
          <w:p w14:paraId="4490DF60" w14:textId="77777777" w:rsidR="009450A0" w:rsidRDefault="000631F0" w:rsidP="00E950FF">
            <w:pPr>
              <w:rPr>
                <w:rFonts w:asciiTheme="minorHAnsi" w:hAnsiTheme="minorHAnsi"/>
                <w:sz w:val="22"/>
                <w:szCs w:val="22"/>
              </w:rPr>
            </w:pPr>
            <w:r>
              <w:rPr>
                <w:rFonts w:asciiTheme="minorHAnsi" w:hAnsiTheme="minorHAnsi"/>
                <w:sz w:val="22"/>
                <w:szCs w:val="22"/>
              </w:rPr>
              <w:t>Where there are staff employed at least one must have an OFQUAL regulated Level 3 qualification in a relevant subject and must be present during the working day (Higher Standard- Optional)</w:t>
            </w:r>
          </w:p>
        </w:tc>
      </w:tr>
      <w:tr w:rsidR="009450A0" w14:paraId="6D256A19" w14:textId="77777777" w:rsidTr="00710E77">
        <w:tc>
          <w:tcPr>
            <w:tcW w:w="562" w:type="dxa"/>
          </w:tcPr>
          <w:p w14:paraId="2BAA51E5" w14:textId="77777777" w:rsidR="009450A0" w:rsidRDefault="009450A0" w:rsidP="00E950FF">
            <w:pPr>
              <w:rPr>
                <w:rFonts w:asciiTheme="minorHAnsi" w:hAnsiTheme="minorHAnsi"/>
                <w:sz w:val="22"/>
                <w:szCs w:val="22"/>
              </w:rPr>
            </w:pPr>
          </w:p>
        </w:tc>
        <w:tc>
          <w:tcPr>
            <w:tcW w:w="8931" w:type="dxa"/>
          </w:tcPr>
          <w:p w14:paraId="40147DA8" w14:textId="77777777" w:rsidR="009450A0" w:rsidRDefault="000631F0" w:rsidP="00E950FF">
            <w:pPr>
              <w:rPr>
                <w:rFonts w:asciiTheme="minorHAnsi" w:hAnsiTheme="minorHAnsi"/>
                <w:sz w:val="22"/>
                <w:szCs w:val="22"/>
              </w:rPr>
            </w:pPr>
            <w:r>
              <w:rPr>
                <w:rFonts w:asciiTheme="minorHAnsi" w:hAnsiTheme="minorHAnsi"/>
                <w:sz w:val="22"/>
                <w:szCs w:val="22"/>
              </w:rPr>
              <w:t>A suitably qualified behaviour expert must be appointed in relation to the licensable activity and active engagement</w:t>
            </w:r>
            <w:r w:rsidR="0057711B">
              <w:rPr>
                <w:rFonts w:asciiTheme="minorHAnsi" w:hAnsiTheme="minorHAnsi"/>
                <w:sz w:val="22"/>
                <w:szCs w:val="22"/>
              </w:rPr>
              <w:t xml:space="preserve"> recorded</w:t>
            </w:r>
            <w:r>
              <w:rPr>
                <w:rFonts w:asciiTheme="minorHAnsi" w:hAnsiTheme="minorHAnsi"/>
                <w:sz w:val="22"/>
                <w:szCs w:val="22"/>
              </w:rPr>
              <w:t xml:space="preserve"> (Higher Standard- Optional)</w:t>
            </w:r>
          </w:p>
        </w:tc>
      </w:tr>
      <w:tr w:rsidR="009450A0" w14:paraId="622A6336" w14:textId="77777777" w:rsidTr="00710E77">
        <w:tc>
          <w:tcPr>
            <w:tcW w:w="562" w:type="dxa"/>
          </w:tcPr>
          <w:p w14:paraId="4F6439A4" w14:textId="77777777" w:rsidR="009450A0" w:rsidRDefault="009450A0" w:rsidP="00E950FF">
            <w:pPr>
              <w:rPr>
                <w:rFonts w:asciiTheme="minorHAnsi" w:hAnsiTheme="minorHAnsi"/>
                <w:sz w:val="22"/>
                <w:szCs w:val="22"/>
              </w:rPr>
            </w:pPr>
          </w:p>
        </w:tc>
        <w:tc>
          <w:tcPr>
            <w:tcW w:w="8931" w:type="dxa"/>
          </w:tcPr>
          <w:p w14:paraId="53042C75" w14:textId="77777777" w:rsidR="009450A0" w:rsidRDefault="00CA5C02" w:rsidP="00E950FF">
            <w:pPr>
              <w:rPr>
                <w:rFonts w:asciiTheme="minorHAnsi" w:hAnsiTheme="minorHAnsi"/>
                <w:sz w:val="22"/>
                <w:szCs w:val="22"/>
              </w:rPr>
            </w:pPr>
            <w:r>
              <w:rPr>
                <w:rFonts w:asciiTheme="minorHAnsi" w:hAnsiTheme="minorHAnsi"/>
                <w:sz w:val="22"/>
                <w:szCs w:val="22"/>
              </w:rPr>
              <w:t xml:space="preserve">A noise management plan must be in place </w:t>
            </w:r>
            <w:proofErr w:type="gramStart"/>
            <w:r>
              <w:rPr>
                <w:rFonts w:asciiTheme="minorHAnsi" w:hAnsiTheme="minorHAnsi"/>
                <w:sz w:val="22"/>
                <w:szCs w:val="22"/>
              </w:rPr>
              <w:t>e.g.</w:t>
            </w:r>
            <w:proofErr w:type="gramEnd"/>
            <w:r>
              <w:rPr>
                <w:rFonts w:asciiTheme="minorHAnsi" w:hAnsiTheme="minorHAnsi"/>
                <w:sz w:val="22"/>
                <w:szCs w:val="22"/>
              </w:rPr>
              <w:t xml:space="preserve"> physical barriers, sound absorbing materials, positive reinforcement training to keep barking down, kennel design to prevent noise generation with demonstration of effectiveness (Higher Standard- Optional)</w:t>
            </w:r>
          </w:p>
        </w:tc>
      </w:tr>
      <w:tr w:rsidR="00567162" w14:paraId="139E3080" w14:textId="77777777" w:rsidTr="00710E77">
        <w:tc>
          <w:tcPr>
            <w:tcW w:w="562" w:type="dxa"/>
          </w:tcPr>
          <w:p w14:paraId="0F2CFF3D" w14:textId="77777777" w:rsidR="00567162" w:rsidRDefault="00567162" w:rsidP="00E950FF">
            <w:pPr>
              <w:rPr>
                <w:rFonts w:asciiTheme="minorHAnsi" w:hAnsiTheme="minorHAnsi"/>
                <w:sz w:val="22"/>
                <w:szCs w:val="22"/>
              </w:rPr>
            </w:pPr>
          </w:p>
        </w:tc>
        <w:tc>
          <w:tcPr>
            <w:tcW w:w="8931" w:type="dxa"/>
          </w:tcPr>
          <w:p w14:paraId="4C487ADC" w14:textId="77777777" w:rsidR="00567162" w:rsidRDefault="00567162" w:rsidP="00E950FF">
            <w:pPr>
              <w:rPr>
                <w:rFonts w:asciiTheme="minorHAnsi" w:hAnsiTheme="minorHAnsi"/>
                <w:sz w:val="22"/>
                <w:szCs w:val="22"/>
              </w:rPr>
            </w:pPr>
            <w:r>
              <w:rPr>
                <w:rFonts w:asciiTheme="minorHAnsi" w:hAnsiTheme="minorHAnsi"/>
                <w:sz w:val="22"/>
                <w:szCs w:val="22"/>
              </w:rPr>
              <w:t>Dogs must be fed twice a day with a feeding plan for each dog balancing feeding with food enrichment such as use of scatter feeders. Inspector must see the enrichment tools and plan for each dog (Higher Standard-Optional).</w:t>
            </w:r>
          </w:p>
        </w:tc>
      </w:tr>
      <w:tr w:rsidR="00567162" w14:paraId="129A88E2" w14:textId="77777777" w:rsidTr="00710E77">
        <w:tc>
          <w:tcPr>
            <w:tcW w:w="562" w:type="dxa"/>
          </w:tcPr>
          <w:p w14:paraId="36B76B87" w14:textId="77777777" w:rsidR="00567162" w:rsidRDefault="00567162" w:rsidP="00E950FF">
            <w:pPr>
              <w:rPr>
                <w:rFonts w:asciiTheme="minorHAnsi" w:hAnsiTheme="minorHAnsi"/>
                <w:sz w:val="22"/>
                <w:szCs w:val="22"/>
              </w:rPr>
            </w:pPr>
          </w:p>
        </w:tc>
        <w:tc>
          <w:tcPr>
            <w:tcW w:w="8931" w:type="dxa"/>
          </w:tcPr>
          <w:p w14:paraId="35A4E965" w14:textId="77777777" w:rsidR="00567162" w:rsidRDefault="00567162" w:rsidP="00333C90">
            <w:pPr>
              <w:rPr>
                <w:rFonts w:asciiTheme="minorHAnsi" w:hAnsiTheme="minorHAnsi"/>
                <w:sz w:val="22"/>
                <w:szCs w:val="22"/>
              </w:rPr>
            </w:pPr>
            <w:r>
              <w:rPr>
                <w:rFonts w:asciiTheme="minorHAnsi" w:hAnsiTheme="minorHAnsi"/>
                <w:sz w:val="22"/>
                <w:szCs w:val="22"/>
              </w:rPr>
              <w:t>There must be a clear plan setting out two walks per day each working day for a minimum of 20 minutes each or two sessions of access to a secure open area. There must be an alternative form of enrichment planned for dogs which cannot be exercised for veterinary reasons (Higher Standard-</w:t>
            </w:r>
            <w:r w:rsidR="00333C90">
              <w:rPr>
                <w:rFonts w:asciiTheme="minorHAnsi" w:hAnsiTheme="minorHAnsi"/>
                <w:sz w:val="22"/>
                <w:szCs w:val="22"/>
              </w:rPr>
              <w:t>Required</w:t>
            </w:r>
            <w:r>
              <w:rPr>
                <w:rFonts w:asciiTheme="minorHAnsi" w:hAnsiTheme="minorHAnsi"/>
                <w:sz w:val="22"/>
                <w:szCs w:val="22"/>
              </w:rPr>
              <w:t>).</w:t>
            </w:r>
          </w:p>
        </w:tc>
      </w:tr>
      <w:tr w:rsidR="008230CA" w14:paraId="1663DA99" w14:textId="77777777" w:rsidTr="00710E77">
        <w:tc>
          <w:tcPr>
            <w:tcW w:w="562" w:type="dxa"/>
          </w:tcPr>
          <w:p w14:paraId="33E578CB" w14:textId="77777777" w:rsidR="008230CA" w:rsidRDefault="008230CA" w:rsidP="00E950FF">
            <w:pPr>
              <w:rPr>
                <w:rFonts w:asciiTheme="minorHAnsi" w:hAnsiTheme="minorHAnsi"/>
                <w:sz w:val="22"/>
                <w:szCs w:val="22"/>
              </w:rPr>
            </w:pPr>
          </w:p>
        </w:tc>
        <w:tc>
          <w:tcPr>
            <w:tcW w:w="8931" w:type="dxa"/>
          </w:tcPr>
          <w:p w14:paraId="0557DA71" w14:textId="6D9949BF" w:rsidR="008230CA" w:rsidRDefault="008230CA" w:rsidP="00333C90">
            <w:pPr>
              <w:rPr>
                <w:rFonts w:asciiTheme="minorHAnsi" w:hAnsiTheme="minorHAnsi"/>
                <w:sz w:val="22"/>
                <w:szCs w:val="22"/>
              </w:rPr>
            </w:pPr>
            <w:r w:rsidRPr="008230CA">
              <w:rPr>
                <w:rFonts w:asciiTheme="minorHAnsi" w:hAnsiTheme="minorHAnsi"/>
                <w:sz w:val="22"/>
                <w:szCs w:val="22"/>
              </w:rPr>
              <w:t>The breeder will ensure all breeding stock or puppies are recorded in the UK with a registration organisation which must make available record of parent or lineage including coefficient of inbreeding and record of health screening test results</w:t>
            </w:r>
            <w:r>
              <w:rPr>
                <w:rFonts w:asciiTheme="minorHAnsi" w:hAnsiTheme="minorHAnsi"/>
                <w:sz w:val="22"/>
                <w:szCs w:val="22"/>
              </w:rPr>
              <w:t xml:space="preserve"> (Higher Standard- Required).</w:t>
            </w:r>
          </w:p>
        </w:tc>
      </w:tr>
      <w:tr w:rsidR="00333C90" w14:paraId="4769908C" w14:textId="77777777" w:rsidTr="00710E77">
        <w:tc>
          <w:tcPr>
            <w:tcW w:w="562" w:type="dxa"/>
          </w:tcPr>
          <w:p w14:paraId="4D81FAA0" w14:textId="77777777" w:rsidR="00333C90" w:rsidRDefault="00333C90" w:rsidP="00E950FF">
            <w:pPr>
              <w:rPr>
                <w:rFonts w:asciiTheme="minorHAnsi" w:hAnsiTheme="minorHAnsi"/>
                <w:sz w:val="22"/>
                <w:szCs w:val="22"/>
              </w:rPr>
            </w:pPr>
          </w:p>
        </w:tc>
        <w:tc>
          <w:tcPr>
            <w:tcW w:w="8931" w:type="dxa"/>
          </w:tcPr>
          <w:p w14:paraId="0E78B2A1" w14:textId="77777777" w:rsidR="00333C90" w:rsidRDefault="00333C90" w:rsidP="00E950FF">
            <w:pPr>
              <w:rPr>
                <w:rFonts w:asciiTheme="minorHAnsi" w:hAnsiTheme="minorHAnsi"/>
                <w:sz w:val="22"/>
                <w:szCs w:val="22"/>
              </w:rPr>
            </w:pPr>
            <w:r>
              <w:rPr>
                <w:rFonts w:asciiTheme="minorHAnsi" w:hAnsiTheme="minorHAnsi"/>
                <w:sz w:val="22"/>
                <w:szCs w:val="22"/>
              </w:rPr>
              <w:t xml:space="preserve">Licence holders must test all breeding stock for hereditary disease using the accepted and scientifically validated health screening schemes relevant to their breed or </w:t>
            </w:r>
            <w:proofErr w:type="gramStart"/>
            <w:r>
              <w:rPr>
                <w:rFonts w:asciiTheme="minorHAnsi" w:hAnsiTheme="minorHAnsi"/>
                <w:sz w:val="22"/>
                <w:szCs w:val="22"/>
              </w:rPr>
              <w:t>type, and</w:t>
            </w:r>
            <w:proofErr w:type="gramEnd"/>
            <w:r>
              <w:rPr>
                <w:rFonts w:asciiTheme="minorHAnsi" w:hAnsiTheme="minorHAnsi"/>
                <w:sz w:val="22"/>
                <w:szCs w:val="22"/>
              </w:rPr>
              <w:t xml:space="preserve"> must carefully evaluate any test results as well as follow any breeding advice issued under each scheme, prior to breeding. No mating must take place if the test results indicate that it would be inadvisable in the sense that it is likely to produce health or welfare problems in the offspring and/or it is advisable in the context of a relevant breeding strategy (Higher Standard-Required).</w:t>
            </w:r>
          </w:p>
        </w:tc>
      </w:tr>
      <w:tr w:rsidR="00333C90" w14:paraId="3E285BB6" w14:textId="77777777" w:rsidTr="00710E77">
        <w:tc>
          <w:tcPr>
            <w:tcW w:w="562" w:type="dxa"/>
          </w:tcPr>
          <w:p w14:paraId="37DB1E55" w14:textId="77777777" w:rsidR="00333C90" w:rsidRDefault="00333C90" w:rsidP="00E950FF">
            <w:pPr>
              <w:rPr>
                <w:rFonts w:asciiTheme="minorHAnsi" w:hAnsiTheme="minorHAnsi"/>
                <w:sz w:val="22"/>
                <w:szCs w:val="22"/>
              </w:rPr>
            </w:pPr>
          </w:p>
        </w:tc>
        <w:tc>
          <w:tcPr>
            <w:tcW w:w="8931" w:type="dxa"/>
          </w:tcPr>
          <w:p w14:paraId="6C2763B1" w14:textId="77777777" w:rsidR="00333C90" w:rsidRDefault="00333C90" w:rsidP="00333C90">
            <w:pPr>
              <w:rPr>
                <w:rFonts w:asciiTheme="minorHAnsi" w:hAnsiTheme="minorHAnsi"/>
                <w:sz w:val="22"/>
                <w:szCs w:val="22"/>
              </w:rPr>
            </w:pPr>
            <w:r>
              <w:rPr>
                <w:rFonts w:asciiTheme="minorHAnsi" w:hAnsiTheme="minorHAnsi"/>
                <w:sz w:val="22"/>
                <w:szCs w:val="22"/>
              </w:rPr>
              <w:t xml:space="preserve">No </w:t>
            </w:r>
            <w:proofErr w:type="gramStart"/>
            <w:r>
              <w:rPr>
                <w:rFonts w:asciiTheme="minorHAnsi" w:hAnsiTheme="minorHAnsi"/>
                <w:sz w:val="22"/>
                <w:szCs w:val="22"/>
              </w:rPr>
              <w:t>bitch</w:t>
            </w:r>
            <w:proofErr w:type="gramEnd"/>
            <w:r>
              <w:rPr>
                <w:rFonts w:asciiTheme="minorHAnsi" w:hAnsiTheme="minorHAnsi"/>
                <w:sz w:val="22"/>
                <w:szCs w:val="22"/>
              </w:rPr>
              <w:t xml:space="preserve"> will be intentionally mated when the coefficient of Inbreeding of the puppies would ex</w:t>
            </w:r>
            <w:r w:rsidR="00DC2177">
              <w:rPr>
                <w:rFonts w:asciiTheme="minorHAnsi" w:hAnsiTheme="minorHAnsi"/>
                <w:sz w:val="22"/>
                <w:szCs w:val="22"/>
              </w:rPr>
              <w:t>ceed the breed average or 12.5%</w:t>
            </w:r>
            <w:r>
              <w:rPr>
                <w:rFonts w:asciiTheme="minorHAnsi" w:hAnsiTheme="minorHAnsi"/>
                <w:sz w:val="22"/>
                <w:szCs w:val="22"/>
              </w:rPr>
              <w:t xml:space="preserve"> if no breed average exists as measured form a minimum five generation pedigree (Higher Standard-Optional).</w:t>
            </w:r>
          </w:p>
        </w:tc>
      </w:tr>
      <w:tr w:rsidR="00333C90" w14:paraId="5CE62BAC" w14:textId="77777777" w:rsidTr="00710E77">
        <w:tc>
          <w:tcPr>
            <w:tcW w:w="562" w:type="dxa"/>
          </w:tcPr>
          <w:p w14:paraId="2D5329DD" w14:textId="77777777" w:rsidR="00333C90" w:rsidRDefault="00333C90" w:rsidP="00E950FF">
            <w:pPr>
              <w:rPr>
                <w:rFonts w:asciiTheme="minorHAnsi" w:hAnsiTheme="minorHAnsi"/>
                <w:sz w:val="22"/>
                <w:szCs w:val="22"/>
              </w:rPr>
            </w:pPr>
          </w:p>
        </w:tc>
        <w:tc>
          <w:tcPr>
            <w:tcW w:w="8931" w:type="dxa"/>
          </w:tcPr>
          <w:p w14:paraId="6A79C778" w14:textId="77777777" w:rsidR="00333C90" w:rsidRDefault="00521AB0" w:rsidP="00333C90">
            <w:pPr>
              <w:rPr>
                <w:rFonts w:asciiTheme="minorHAnsi" w:hAnsiTheme="minorHAnsi"/>
                <w:sz w:val="22"/>
                <w:szCs w:val="22"/>
              </w:rPr>
            </w:pPr>
            <w:r>
              <w:rPr>
                <w:rFonts w:asciiTheme="minorHAnsi" w:hAnsiTheme="minorHAnsi"/>
                <w:sz w:val="22"/>
                <w:szCs w:val="22"/>
              </w:rPr>
              <w:t xml:space="preserve">A puppy contract must be used, which must include undertakings and warranties around health, vaccinations and socialisation carried out by the seller prior to sale, </w:t>
            </w:r>
            <w:proofErr w:type="gramStart"/>
            <w:r>
              <w:rPr>
                <w:rFonts w:asciiTheme="minorHAnsi" w:hAnsiTheme="minorHAnsi"/>
                <w:sz w:val="22"/>
                <w:szCs w:val="22"/>
              </w:rPr>
              <w:t>and also</w:t>
            </w:r>
            <w:proofErr w:type="gramEnd"/>
            <w:r>
              <w:rPr>
                <w:rFonts w:asciiTheme="minorHAnsi" w:hAnsiTheme="minorHAnsi"/>
                <w:sz w:val="22"/>
                <w:szCs w:val="22"/>
              </w:rPr>
              <w:t xml:space="preserve"> make clear the responsibilities of the buyer relative to the dog. This must then give both parties confidence that a transaction has taken place in good faith (Higher Standard-Required).</w:t>
            </w:r>
          </w:p>
        </w:tc>
      </w:tr>
    </w:tbl>
    <w:p w14:paraId="0526409A" w14:textId="77777777" w:rsidR="009450A0" w:rsidRPr="009450A0" w:rsidRDefault="009450A0" w:rsidP="009530CF">
      <w:pPr>
        <w:rPr>
          <w:rFonts w:asciiTheme="minorHAnsi" w:hAnsiTheme="minorHAnsi"/>
          <w:sz w:val="22"/>
          <w:szCs w:val="22"/>
        </w:rPr>
      </w:pPr>
    </w:p>
    <w:sectPr w:rsidR="009450A0" w:rsidRPr="00945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CAB"/>
    <w:multiLevelType w:val="hybridMultilevel"/>
    <w:tmpl w:val="FF2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A0"/>
    <w:rsid w:val="00034482"/>
    <w:rsid w:val="000377CF"/>
    <w:rsid w:val="000631F0"/>
    <w:rsid w:val="000B21E6"/>
    <w:rsid w:val="000D20EB"/>
    <w:rsid w:val="002D6523"/>
    <w:rsid w:val="00333C90"/>
    <w:rsid w:val="003E29ED"/>
    <w:rsid w:val="004A0FA8"/>
    <w:rsid w:val="00521AB0"/>
    <w:rsid w:val="00551AC3"/>
    <w:rsid w:val="00567162"/>
    <w:rsid w:val="0057711B"/>
    <w:rsid w:val="005B53E4"/>
    <w:rsid w:val="00710E77"/>
    <w:rsid w:val="00744E55"/>
    <w:rsid w:val="0074775C"/>
    <w:rsid w:val="007671F2"/>
    <w:rsid w:val="007F3733"/>
    <w:rsid w:val="008230CA"/>
    <w:rsid w:val="008936B9"/>
    <w:rsid w:val="008A4E02"/>
    <w:rsid w:val="00906CE8"/>
    <w:rsid w:val="009450A0"/>
    <w:rsid w:val="009530CF"/>
    <w:rsid w:val="009914A3"/>
    <w:rsid w:val="009F4A21"/>
    <w:rsid w:val="009F5CDB"/>
    <w:rsid w:val="00B37451"/>
    <w:rsid w:val="00C04391"/>
    <w:rsid w:val="00CA5C02"/>
    <w:rsid w:val="00D313E6"/>
    <w:rsid w:val="00D40E7E"/>
    <w:rsid w:val="00D818EE"/>
    <w:rsid w:val="00DC2177"/>
    <w:rsid w:val="00DD5240"/>
    <w:rsid w:val="00E74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942F"/>
  <w15:chartTrackingRefBased/>
  <w15:docId w15:val="{11CCC2F5-CF60-42DE-9074-0972F0BB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A0"/>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710E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0E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0A0"/>
    <w:rPr>
      <w:color w:val="0000FF"/>
      <w:u w:val="single"/>
    </w:rPr>
  </w:style>
  <w:style w:type="table" w:styleId="TableGrid">
    <w:name w:val="Table Grid"/>
    <w:basedOn w:val="TableNormal"/>
    <w:uiPriority w:val="39"/>
    <w:rsid w:val="0094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7CF"/>
    <w:pPr>
      <w:ind w:left="720"/>
      <w:contextualSpacing/>
    </w:pPr>
  </w:style>
  <w:style w:type="paragraph" w:styleId="NormalWeb">
    <w:name w:val="Normal (Web)"/>
    <w:basedOn w:val="Normal"/>
    <w:uiPriority w:val="99"/>
    <w:unhideWhenUsed/>
    <w:rsid w:val="00710E77"/>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710E77"/>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710E77"/>
    <w:rPr>
      <w:rFonts w:asciiTheme="majorHAnsi" w:eastAsiaTheme="majorEastAsia" w:hAnsiTheme="majorHAnsi" w:cstheme="majorBidi"/>
      <w:color w:val="2E74B5" w:themeColor="accent1" w:themeShade="BF"/>
      <w:sz w:val="26"/>
      <w:szCs w:val="26"/>
      <w:lang w:eastAsia="en-GB"/>
    </w:rPr>
  </w:style>
  <w:style w:type="character" w:styleId="UnresolvedMention">
    <w:name w:val="Unresolved Mention"/>
    <w:basedOn w:val="DefaultParagraphFont"/>
    <w:uiPriority w:val="99"/>
    <w:semiHidden/>
    <w:unhideWhenUsed/>
    <w:rsid w:val="00D40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4340">
      <w:bodyDiv w:val="1"/>
      <w:marLeft w:val="0"/>
      <w:marRight w:val="0"/>
      <w:marTop w:val="0"/>
      <w:marBottom w:val="0"/>
      <w:divBdr>
        <w:top w:val="none" w:sz="0" w:space="0" w:color="auto"/>
        <w:left w:val="none" w:sz="0" w:space="0" w:color="auto"/>
        <w:bottom w:val="none" w:sz="0" w:space="0" w:color="auto"/>
        <w:right w:val="none" w:sz="0" w:space="0" w:color="auto"/>
      </w:divBdr>
    </w:div>
    <w:div w:id="723528279">
      <w:bodyDiv w:val="1"/>
      <w:marLeft w:val="0"/>
      <w:marRight w:val="0"/>
      <w:marTop w:val="0"/>
      <w:marBottom w:val="0"/>
      <w:divBdr>
        <w:top w:val="none" w:sz="0" w:space="0" w:color="auto"/>
        <w:left w:val="none" w:sz="0" w:space="0" w:color="auto"/>
        <w:bottom w:val="none" w:sz="0" w:space="0" w:color="auto"/>
        <w:right w:val="none" w:sz="0" w:space="0" w:color="auto"/>
      </w:divBdr>
    </w:div>
    <w:div w:id="11216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nimal-activities-licensing-guidance-for-local-authorit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Jennifer</dc:creator>
  <cp:keywords/>
  <dc:description/>
  <cp:lastModifiedBy>Zoe Roberts</cp:lastModifiedBy>
  <cp:revision>5</cp:revision>
  <dcterms:created xsi:type="dcterms:W3CDTF">2023-01-09T15:19:00Z</dcterms:created>
  <dcterms:modified xsi:type="dcterms:W3CDTF">2024-08-21T15:51:00Z</dcterms:modified>
</cp:coreProperties>
</file>